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numPr>
          <w:ilvl w:val="0"/>
          <w:numId w:val="0"/>
        </w:numPr>
        <w:jc w:val="center"/>
        <w:rPr>
          <w:rStyle w:val="9"/>
          <w:rFonts w:hint="eastAsia" w:ascii="Times New Roman" w:hAnsi="Times New Roman" w:eastAsia="方正小标宋_GBK" w:cs="Times New Roman"/>
          <w:bCs/>
          <w:sz w:val="40"/>
          <w:szCs w:val="44"/>
          <w:lang w:val="en-US" w:eastAsia="zh-CN"/>
        </w:rPr>
      </w:pPr>
      <w:r>
        <w:rPr>
          <w:rStyle w:val="9"/>
          <w:rFonts w:hint="eastAsia" w:ascii="Times New Roman" w:hAnsi="Times New Roman" w:eastAsia="方正小标宋_GBK" w:cs="Times New Roman"/>
          <w:bCs/>
          <w:sz w:val="40"/>
          <w:szCs w:val="44"/>
          <w:lang w:val="en-US" w:eastAsia="zh-CN"/>
        </w:rPr>
        <w:t>关于《重庆两江新区“十四五”应急管理专项规划》</w:t>
      </w:r>
      <w:r>
        <w:rPr>
          <w:rStyle w:val="9"/>
          <w:rFonts w:hint="eastAsia" w:ascii="Times New Roman" w:hAnsi="Times New Roman" w:eastAsia="方正小标宋_GBK" w:cs="Times New Roman"/>
          <w:bCs/>
          <w:sz w:val="40"/>
          <w:szCs w:val="44"/>
          <w:lang w:val="en-US" w:eastAsia="zh-CN"/>
        </w:rPr>
        <w:t>（</w:t>
      </w:r>
      <w:r>
        <w:rPr>
          <w:rStyle w:val="9"/>
          <w:rFonts w:hint="eastAsia" w:ascii="Times New Roman" w:hAnsi="Times New Roman" w:eastAsia="方正小标宋_GBK" w:cs="Times New Roman"/>
          <w:bCs/>
          <w:sz w:val="40"/>
          <w:szCs w:val="44"/>
          <w:lang w:val="en-US" w:eastAsia="zh-CN"/>
        </w:rPr>
        <w:t>征求意见稿</w:t>
      </w:r>
      <w:r>
        <w:rPr>
          <w:rStyle w:val="9"/>
          <w:rFonts w:hint="eastAsia" w:ascii="Times New Roman" w:hAnsi="Times New Roman" w:eastAsia="方正小标宋_GBK" w:cs="Times New Roman"/>
          <w:bCs/>
          <w:sz w:val="40"/>
          <w:szCs w:val="44"/>
          <w:lang w:val="en-US" w:eastAsia="zh-CN"/>
        </w:rPr>
        <w:t>）</w:t>
      </w:r>
      <w:r>
        <w:rPr>
          <w:rStyle w:val="9"/>
          <w:rFonts w:hint="eastAsia" w:ascii="Times New Roman" w:hAnsi="Times New Roman" w:eastAsia="方正小标宋_GBK" w:cs="Times New Roman"/>
          <w:bCs/>
          <w:sz w:val="40"/>
          <w:szCs w:val="44"/>
          <w:lang w:val="en-US" w:eastAsia="zh-CN"/>
        </w:rPr>
        <w:t>草案</w:t>
      </w:r>
      <w:r>
        <w:rPr>
          <w:rStyle w:val="9"/>
          <w:rFonts w:hint="eastAsia" w:ascii="Times New Roman" w:hAnsi="Times New Roman" w:eastAsia="方正小标宋_GBK" w:cs="Times New Roman"/>
          <w:bCs/>
          <w:sz w:val="40"/>
          <w:szCs w:val="44"/>
          <w:lang w:val="en-US" w:eastAsia="zh-CN"/>
        </w:rPr>
        <w:t>解读</w:t>
      </w:r>
    </w:p>
    <w:p>
      <w:pPr>
        <w:rPr>
          <w:rFonts w:hint="eastAsia" w:ascii="方正仿宋_GBK" w:hAnsi="方正仿宋_GBK" w:eastAsia="方正仿宋_GBK" w:cs="方正仿宋_GBK"/>
          <w:i w:val="0"/>
          <w:iCs w:val="0"/>
          <w:caps w:val="0"/>
          <w:color w:val="333333"/>
          <w:spacing w:val="0"/>
          <w:sz w:val="31"/>
          <w:szCs w:val="31"/>
          <w:shd w:val="clear" w:fill="FFFFFF"/>
          <w:lang w:val="en-US" w:eastAsia="zh-CN"/>
        </w:rPr>
      </w:pPr>
    </w:p>
    <w:p>
      <w:pPr>
        <w:numPr>
          <w:ilvl w:val="0"/>
          <w:numId w:val="0"/>
        </w:numPr>
        <w:rPr>
          <w:rFonts w:hint="default" w:ascii="方正仿宋_GBK" w:hAnsi="方正仿宋_GBK" w:eastAsia="方正仿宋_GBK" w:cs="方正仿宋_GBK"/>
          <w:b/>
          <w:bCs w:val="0"/>
          <w:i w:val="0"/>
          <w:iCs w:val="0"/>
          <w:caps w:val="0"/>
          <w:color w:val="333333"/>
          <w:spacing w:val="0"/>
          <w:sz w:val="31"/>
          <w:szCs w:val="31"/>
          <w:shd w:val="clear" w:fill="FFFFFF"/>
          <w:lang w:val="en-US" w:eastAsia="zh-CN"/>
        </w:rPr>
      </w:pPr>
      <w:r>
        <w:rPr>
          <w:rFonts w:hint="eastAsia" w:ascii="方正仿宋_GBK" w:hAnsi="方正仿宋_GBK" w:eastAsia="方正仿宋_GBK" w:cs="方正仿宋_GBK"/>
          <w:b/>
          <w:bCs w:val="0"/>
          <w:i w:val="0"/>
          <w:iCs w:val="0"/>
          <w:caps w:val="0"/>
          <w:color w:val="333333"/>
          <w:spacing w:val="0"/>
          <w:sz w:val="31"/>
          <w:szCs w:val="31"/>
          <w:shd w:val="clear" w:fill="FFFFFF"/>
          <w:lang w:val="en-US" w:eastAsia="zh-CN"/>
        </w:rPr>
        <w:t>一、背景和依据</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rPr>
        <w:t>“十四五”（2021—2025年），是我国由全面建成小康社会向基本实现社会主义现代化迈进的关键时期，也是机构改革之后，全力构建应急能力体系和应急管理体制的关键时期。编制实施好应急管理“十四五”规划，描绘好未来发展蓝图，意义重大。按照《应急管理部关于做好“十四五”应急管理领域专项规划编制工作的通知》（应急函〔2019〕179号）、《关于组织开展全市“十四五”规划编制工作的通知》（渝发改规〔2019〕849号）以及《关于做好应急管理“十四五”规划编制工作的通知》（渝安办〔2019〕81号）要求，区应急局牵头组织编制《重庆两江新区“十四五”应急管理专项规划》（征求意见稿）</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以下简称规划）</w:t>
      </w:r>
    </w:p>
    <w:p>
      <w:pPr>
        <w:numPr>
          <w:ilvl w:val="0"/>
          <w:numId w:val="0"/>
        </w:numPr>
        <w:rPr>
          <w:rFonts w:hint="eastAsia" w:ascii="方正仿宋_GBK" w:hAnsi="方正仿宋_GBK" w:eastAsia="方正仿宋_GBK" w:cs="方正仿宋_GBK"/>
          <w:b/>
          <w:bCs w:val="0"/>
          <w:i w:val="0"/>
          <w:iCs w:val="0"/>
          <w:caps w:val="0"/>
          <w:color w:val="333333"/>
          <w:spacing w:val="0"/>
          <w:sz w:val="31"/>
          <w:szCs w:val="31"/>
          <w:shd w:val="clear" w:fill="FFFFFF"/>
          <w:lang w:val="en-US" w:eastAsia="zh-CN"/>
        </w:rPr>
      </w:pPr>
      <w:r>
        <w:rPr>
          <w:rFonts w:hint="eastAsia" w:ascii="方正仿宋_GBK" w:hAnsi="方正仿宋_GBK" w:eastAsia="方正仿宋_GBK" w:cs="方正仿宋_GBK"/>
          <w:b/>
          <w:bCs w:val="0"/>
          <w:i w:val="0"/>
          <w:iCs w:val="0"/>
          <w:caps w:val="0"/>
          <w:color w:val="333333"/>
          <w:spacing w:val="0"/>
          <w:sz w:val="31"/>
          <w:szCs w:val="31"/>
          <w:shd w:val="clear" w:fill="FFFFFF"/>
          <w:lang w:val="en-US" w:eastAsia="zh-CN"/>
        </w:rPr>
        <w:t>二、主要内容</w:t>
      </w:r>
    </w:p>
    <w:p>
      <w:pPr>
        <w:numPr>
          <w:ilvl w:val="0"/>
          <w:numId w:val="1"/>
        </w:numPr>
        <w:spacing w:line="570" w:lineRule="exact"/>
        <w:rPr>
          <w:rFonts w:hint="eastAsia" w:ascii="方正楷体_GBK" w:hAnsi="Times New Roman" w:eastAsia="方正楷体_GBK"/>
          <w:sz w:val="32"/>
          <w:szCs w:val="32"/>
        </w:rPr>
      </w:pPr>
      <w:r>
        <w:rPr>
          <w:rFonts w:hint="eastAsia" w:ascii="方正楷体_GBK" w:hAnsi="Times New Roman" w:eastAsia="方正楷体_GBK"/>
          <w:sz w:val="32"/>
          <w:szCs w:val="32"/>
        </w:rPr>
        <w:t>范围和时限。</w:t>
      </w:r>
    </w:p>
    <w:p>
      <w:pPr>
        <w:spacing w:line="579" w:lineRule="exact"/>
        <w:ind w:firstLine="640" w:firstLineChars="200"/>
        <w:rPr>
          <w:rFonts w:hint="eastAsia" w:ascii="Times New Roman" w:hAnsi="Times New Roman" w:eastAsia="方正仿宋_GBK" w:cs="Times New Roman"/>
          <w:sz w:val="32"/>
        </w:rPr>
      </w:pPr>
      <w:r>
        <w:rPr>
          <w:rFonts w:hint="eastAsia" w:ascii="Times New Roman" w:hAnsi="Times New Roman" w:eastAsia="方正仿宋_GBK" w:cs="Times New Roman"/>
          <w:sz w:val="32"/>
        </w:rPr>
        <w:t>规划范围为</w:t>
      </w:r>
      <w:r>
        <w:rPr>
          <w:rFonts w:hint="eastAsia" w:ascii="Times New Roman" w:hAnsi="Times New Roman" w:eastAsia="方正仿宋_GBK" w:cs="Times New Roman"/>
          <w:sz w:val="32"/>
          <w:lang w:val="en-US" w:eastAsia="zh-CN"/>
        </w:rPr>
        <w:t>两江新</w:t>
      </w:r>
      <w:r>
        <w:rPr>
          <w:rFonts w:hint="eastAsia" w:ascii="Times New Roman" w:hAnsi="Times New Roman" w:eastAsia="方正仿宋_GBK" w:cs="Times New Roman"/>
          <w:sz w:val="32"/>
        </w:rPr>
        <w:t>区实际行政管辖区域</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规划时限为2021-2025年。</w:t>
      </w:r>
    </w:p>
    <w:p>
      <w:pPr>
        <w:numPr>
          <w:ilvl w:val="0"/>
          <w:numId w:val="1"/>
        </w:numPr>
        <w:spacing w:line="570" w:lineRule="exact"/>
        <w:ind w:left="0" w:leftChars="0" w:firstLine="0" w:firstLineChars="0"/>
        <w:rPr>
          <w:rFonts w:hint="eastAsia" w:ascii="方正楷体_GBK" w:hAnsi="Times New Roman" w:eastAsia="方正楷体_GBK"/>
          <w:sz w:val="32"/>
          <w:szCs w:val="32"/>
        </w:rPr>
      </w:pPr>
      <w:r>
        <w:rPr>
          <w:rFonts w:hint="eastAsia" w:ascii="方正楷体_GBK" w:hAnsi="Times New Roman" w:eastAsia="方正楷体_GBK"/>
          <w:sz w:val="32"/>
          <w:szCs w:val="32"/>
        </w:rPr>
        <w:t>基础形势。</w:t>
      </w:r>
    </w:p>
    <w:p>
      <w:pPr>
        <w:spacing w:line="579" w:lineRule="exact"/>
        <w:ind w:firstLine="640" w:firstLineChars="200"/>
        <w:rPr>
          <w:rFonts w:hint="eastAsia" w:ascii="Times New Roman" w:hAnsi="Times New Roman" w:eastAsia="方正仿宋_GBK" w:cs="Times New Roman"/>
          <w:sz w:val="32"/>
        </w:rPr>
      </w:pPr>
      <w:r>
        <w:rPr>
          <w:rFonts w:hint="eastAsia" w:ascii="Times New Roman" w:hAnsi="Times New Roman" w:eastAsia="方正仿宋_GBK" w:cs="Times New Roman"/>
          <w:sz w:val="32"/>
        </w:rPr>
        <w:t>“十三五”期间</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新</w:t>
      </w:r>
      <w:r>
        <w:rPr>
          <w:rFonts w:hint="eastAsia" w:ascii="Times New Roman" w:hAnsi="Times New Roman" w:eastAsia="方正仿宋_GBK" w:cs="Times New Roman"/>
          <w:sz w:val="32"/>
        </w:rPr>
        <w:t>区深入贯彻“五大发展理念”，紧紧围绕“一带一路”、长江经济带国家战略和重庆五大功能区域发展战略，按照应急管理部、重庆市统一部署</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党政同责、一岗双责”和“三个必须”责任制全面落实、安全生产监管体系更加完善、企业安全主体责任不断增强、安全生产基础不断夯实、社区安全整体水平得到有效提升，各项安全工作指标全面完成，安全生产形势稳定好转，全区应急管理工作总体取得重大突破</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新</w:t>
      </w:r>
      <w:r>
        <w:rPr>
          <w:rFonts w:hint="eastAsia" w:ascii="Times New Roman" w:hAnsi="Times New Roman" w:eastAsia="方正仿宋_GBK" w:cs="Times New Roman"/>
          <w:sz w:val="32"/>
        </w:rPr>
        <w:t>区</w:t>
      </w:r>
      <w:r>
        <w:rPr>
          <w:rFonts w:hint="eastAsia" w:ascii="Times New Roman" w:hAnsi="Times New Roman" w:eastAsia="方正仿宋_GBK" w:cs="Times New Roman"/>
          <w:sz w:val="32"/>
          <w:lang w:val="en-US" w:eastAsia="zh-CN"/>
        </w:rPr>
        <w:t>顺利完成</w:t>
      </w:r>
      <w:r>
        <w:rPr>
          <w:rFonts w:hint="eastAsia" w:ascii="Times New Roman" w:hAnsi="Times New Roman" w:eastAsia="方正仿宋_GBK" w:cs="Times New Roman"/>
          <w:sz w:val="32"/>
        </w:rPr>
        <w:t>全灾种、全过程、全方位的应急管理机构改革，明确细化了各方安全生产职责</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强化</w:t>
      </w:r>
      <w:r>
        <w:rPr>
          <w:rFonts w:hint="eastAsia" w:ascii="Times New Roman" w:hAnsi="Times New Roman" w:eastAsia="方正仿宋_GBK" w:cs="Times New Roman"/>
          <w:sz w:val="32"/>
        </w:rPr>
        <w:t>规划引领指导、完善源头风险管控、严格安全准入机制、建立事故“双防”机制，</w:t>
      </w:r>
      <w:r>
        <w:rPr>
          <w:rFonts w:hint="eastAsia" w:ascii="Times New Roman" w:hAnsi="Times New Roman" w:eastAsia="方正仿宋_GBK" w:cs="Times New Roman"/>
          <w:sz w:val="32"/>
          <w:lang w:val="en-US" w:eastAsia="zh-CN"/>
        </w:rPr>
        <w:t>全区</w:t>
      </w:r>
      <w:r>
        <w:rPr>
          <w:rFonts w:hint="eastAsia" w:ascii="Times New Roman" w:hAnsi="Times New Roman" w:eastAsia="方正仿宋_GBK" w:cs="Times New Roman"/>
          <w:sz w:val="32"/>
        </w:rPr>
        <w:t>安全生产防控形势整体平稳可控</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持续开展打非治违专项行动、健全行政执法信息公开机制、强化基层安全监管执法力量，安全生产监管及执法能力明显提升</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不断完善</w:t>
      </w:r>
      <w:r>
        <w:rPr>
          <w:rFonts w:hint="eastAsia" w:ascii="Times New Roman" w:hAnsi="Times New Roman" w:eastAsia="方正仿宋_GBK" w:cs="Times New Roman"/>
          <w:sz w:val="32"/>
        </w:rPr>
        <w:t>道路交通、建设施工、消防安全、危险化学品、烟花爆竹、特种设备、市政设施、油气管道、工贸行业、职业卫生、水上交通、校园等行业领域安全基础设施工程建设</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新区</w:t>
      </w:r>
      <w:r>
        <w:rPr>
          <w:rFonts w:hint="eastAsia" w:ascii="Times New Roman" w:hAnsi="Times New Roman" w:eastAsia="方正仿宋_GBK" w:cs="Times New Roman"/>
          <w:sz w:val="32"/>
        </w:rPr>
        <w:t>安全生产基础保障能力</w:t>
      </w:r>
      <w:r>
        <w:rPr>
          <w:rFonts w:hint="eastAsia" w:ascii="Times New Roman" w:hAnsi="Times New Roman" w:eastAsia="方正仿宋_GBK" w:cs="Times New Roman"/>
          <w:sz w:val="32"/>
          <w:lang w:val="en-US" w:eastAsia="zh-CN"/>
        </w:rPr>
        <w:t>显著提升</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通过积极开展各项安全惠民工程</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新区8个街道全面建成国家安全社区</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安全惠民项目建设全面铺开</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不断完善各项防灾减灾规章制度及专项应急预案修订工作</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灾情报送、预警发布机制体制</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加强风险管理、物资储备、避难场所建设</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提升社会动员、应急联动能力</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全面提升防灾减灾能力</w:t>
      </w:r>
      <w:r>
        <w:rPr>
          <w:rFonts w:hint="eastAsia" w:ascii="Times New Roman" w:hAnsi="Times New Roman" w:eastAsia="方正仿宋_GBK" w:cs="Times New Roman"/>
          <w:sz w:val="32"/>
          <w:lang w:eastAsia="zh-CN"/>
        </w:rPr>
        <w:t>。</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rPr>
        <w:t>建设应急救援指挥平台</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建成包含水上应急救援中心</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综合应急救援队伍和消防、危险化学品等专业应急救援队伍</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有效提升应急救援能力。</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新区在</w:t>
      </w:r>
      <w:r>
        <w:rPr>
          <w:rFonts w:hint="eastAsia" w:ascii="Times New Roman" w:hAnsi="Times New Roman" w:eastAsia="方正仿宋_GBK" w:cs="Times New Roman"/>
          <w:sz w:val="32"/>
        </w:rPr>
        <w:t>应急管理事业</w:t>
      </w:r>
      <w:r>
        <w:rPr>
          <w:rFonts w:hint="eastAsia" w:ascii="Times New Roman" w:hAnsi="Times New Roman" w:eastAsia="方正仿宋_GBK" w:cs="Times New Roman"/>
          <w:sz w:val="32"/>
          <w:lang w:val="en-US" w:eastAsia="zh-CN"/>
        </w:rPr>
        <w:t>中仍存在不足，</w:t>
      </w:r>
      <w:r>
        <w:rPr>
          <w:rFonts w:hint="eastAsia" w:ascii="Times New Roman" w:hAnsi="Times New Roman" w:eastAsia="方正仿宋_GBK" w:cs="Times New Roman"/>
          <w:sz w:val="32"/>
        </w:rPr>
        <w:t>“十四五”时期，安全生产、防灾减灾、应急救援工作面临许多有利条件</w:t>
      </w:r>
      <w:r>
        <w:rPr>
          <w:rFonts w:hint="eastAsia" w:ascii="Times New Roman" w:hAnsi="Times New Roman" w:eastAsia="方正仿宋_GBK" w:cs="Times New Roman"/>
          <w:sz w:val="32"/>
          <w:lang w:val="en-US" w:eastAsia="zh-CN"/>
        </w:rPr>
        <w:t>和</w:t>
      </w:r>
      <w:r>
        <w:rPr>
          <w:rFonts w:hint="eastAsia" w:ascii="Times New Roman" w:hAnsi="Times New Roman" w:eastAsia="方正仿宋_GBK" w:cs="Times New Roman"/>
          <w:sz w:val="32"/>
        </w:rPr>
        <w:t>发展机遇</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lang w:val="en-US" w:eastAsia="zh-CN"/>
        </w:rPr>
        <w:t>也面临</w:t>
      </w:r>
      <w:r>
        <w:rPr>
          <w:rFonts w:hint="eastAsia" w:ascii="Times New Roman" w:hAnsi="Times New Roman" w:eastAsia="方正仿宋_GBK" w:cs="Times New Roman"/>
          <w:sz w:val="32"/>
        </w:rPr>
        <w:t>严峻的挑战</w:t>
      </w:r>
      <w:r>
        <w:rPr>
          <w:rFonts w:hint="eastAsia" w:ascii="Times New Roman" w:hAnsi="Times New Roman" w:eastAsia="方正仿宋_GBK" w:cs="Times New Roman"/>
          <w:sz w:val="32"/>
          <w:lang w:eastAsia="zh-CN"/>
        </w:rPr>
        <w:t>。</w:t>
      </w:r>
    </w:p>
    <w:p>
      <w:pPr>
        <w:spacing w:line="570" w:lineRule="exact"/>
        <w:rPr>
          <w:rFonts w:hint="eastAsia" w:ascii="方正楷体_GBK" w:hAnsi="Times New Roman" w:eastAsia="方正楷体_GBK"/>
          <w:sz w:val="32"/>
          <w:szCs w:val="32"/>
        </w:rPr>
      </w:pPr>
      <w:r>
        <w:rPr>
          <w:rFonts w:hint="eastAsia" w:ascii="方正楷体_GBK" w:hAnsi="Times New Roman" w:eastAsia="方正楷体_GBK"/>
          <w:sz w:val="32"/>
          <w:szCs w:val="32"/>
        </w:rPr>
        <w:t>（三）主要目标。</w:t>
      </w:r>
    </w:p>
    <w:p>
      <w:pPr>
        <w:spacing w:line="579" w:lineRule="exact"/>
        <w:ind w:firstLine="640" w:firstLineChars="200"/>
        <w:rPr>
          <w:rFonts w:hint="eastAsia" w:ascii="Times New Roman" w:hAnsi="Times New Roman" w:eastAsia="方正仿宋_GBK" w:cs="Times New Roman"/>
          <w:sz w:val="32"/>
        </w:rPr>
      </w:pPr>
      <w:r>
        <w:rPr>
          <w:rFonts w:hint="eastAsia" w:ascii="Times New Roman" w:hAnsi="Times New Roman" w:eastAsia="方正仿宋_GBK" w:cs="Times New Roman"/>
          <w:sz w:val="32"/>
          <w:lang w:val="en-US" w:eastAsia="zh-CN"/>
        </w:rPr>
        <w:t>总体目标：</w:t>
      </w:r>
      <w:r>
        <w:rPr>
          <w:rFonts w:hint="eastAsia" w:ascii="Times New Roman" w:hAnsi="Times New Roman" w:eastAsia="方正仿宋_GBK" w:cs="Times New Roman"/>
          <w:sz w:val="32"/>
        </w:rPr>
        <w:t>到2025年</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两江新区应急管理体系与能力现代化建设实现与新一代信息技术与应急管理业务深度融合，基本建成“智慧应急”信息化体系</w:t>
      </w:r>
      <w:r>
        <w:rPr>
          <w:rFonts w:hint="eastAsia" w:ascii="Times New Roman" w:hAnsi="Times New Roman" w:eastAsia="方正仿宋_GBK" w:cs="Times New Roman"/>
          <w:sz w:val="32"/>
          <w:lang w:eastAsia="zh-CN"/>
        </w:rPr>
        <w:t>，</w:t>
      </w:r>
      <w:r>
        <w:rPr>
          <w:rFonts w:hint="eastAsia" w:ascii="Times New Roman" w:hAnsi="Times New Roman" w:eastAsia="方正仿宋_GBK" w:cs="Times New Roman"/>
          <w:sz w:val="32"/>
        </w:rPr>
        <w:t>风险防控、基层基础、应急救援、综合保障、社会协同能力明显增强，安全生产整体水平、防灾减灾救灾能力显著增强，重特大生产安全事故得到有效遏制，有序有效应对各类事故灾害，人民群众生命和财产安全得到有力保障，全面实现城市安全治理体系和能力现代化。</w:t>
      </w:r>
    </w:p>
    <w:p>
      <w:pPr>
        <w:spacing w:line="579" w:lineRule="exact"/>
        <w:ind w:firstLine="640" w:firstLineChars="200"/>
        <w:rPr>
          <w:rFonts w:hint="eastAsia" w:ascii="Times New Roman" w:hAnsi="Times New Roman" w:eastAsia="方正仿宋_GBK" w:cs="Times New Roman"/>
          <w:sz w:val="32"/>
        </w:rPr>
      </w:pPr>
      <w:r>
        <w:rPr>
          <w:rFonts w:hint="eastAsia" w:ascii="Times New Roman" w:hAnsi="Times New Roman" w:eastAsia="方正仿宋_GBK" w:cs="Times New Roman"/>
          <w:sz w:val="32"/>
        </w:rPr>
        <w:t>根据总体目标，设置</w:t>
      </w:r>
      <w:r>
        <w:rPr>
          <w:rFonts w:hint="eastAsia" w:ascii="Times New Roman" w:hAnsi="Times New Roman" w:eastAsia="方正仿宋_GBK" w:cs="Times New Roman"/>
          <w:sz w:val="32"/>
          <w:lang w:val="en-US" w:eastAsia="zh-CN"/>
        </w:rPr>
        <w:t>5</w:t>
      </w:r>
      <w:r>
        <w:rPr>
          <w:rFonts w:hint="eastAsia" w:ascii="Times New Roman" w:hAnsi="Times New Roman" w:eastAsia="方正仿宋_GBK" w:cs="Times New Roman"/>
          <w:sz w:val="32"/>
        </w:rPr>
        <w:t>项分类目标和6项核心指标，核心指标中，生产安全事故死亡人数下降</w:t>
      </w:r>
      <w:r>
        <w:rPr>
          <w:rFonts w:hint="eastAsia" w:ascii="Times New Roman" w:hAnsi="Times New Roman" w:eastAsia="方正仿宋_GBK" w:cs="Times New Roman"/>
          <w:sz w:val="32"/>
          <w:lang w:val="en-US" w:eastAsia="zh-CN"/>
        </w:rPr>
        <w:t>9</w:t>
      </w:r>
      <w:r>
        <w:rPr>
          <w:rFonts w:hint="eastAsia" w:ascii="Times New Roman" w:hAnsi="Times New Roman" w:eastAsia="方正仿宋_GBK" w:cs="Times New Roman"/>
          <w:sz w:val="32"/>
        </w:rPr>
        <w:t>%、5年累计重特大生产安全事故起数0起、亿元地区生产总值生产安全事故死亡率</w:t>
      </w:r>
      <w:r>
        <w:rPr>
          <w:rFonts w:hint="eastAsia" w:ascii="Times New Roman" w:hAnsi="Times New Roman" w:eastAsia="方正仿宋_GBK" w:cs="Times New Roman"/>
          <w:sz w:val="32"/>
          <w:lang w:val="en-US" w:eastAsia="zh-CN"/>
        </w:rPr>
        <w:t>下降37.5%</w:t>
      </w:r>
      <w:r>
        <w:rPr>
          <w:rFonts w:hint="eastAsia" w:ascii="Times New Roman" w:hAnsi="Times New Roman" w:eastAsia="方正仿宋_GBK" w:cs="Times New Roman"/>
          <w:sz w:val="32"/>
        </w:rPr>
        <w:t>等为约束性指标。</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表1  “十四五”时期应急管理核心指标</w:t>
      </w:r>
    </w:p>
    <w:tbl>
      <w:tblPr>
        <w:tblStyle w:val="7"/>
        <w:tblW w:w="8193" w:type="dxa"/>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766"/>
        <w:gridCol w:w="5871"/>
        <w:gridCol w:w="1556"/>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675" w:hRule="atLeast"/>
          <w:tblHeader/>
          <w:jc w:val="center"/>
        </w:trPr>
        <w:tc>
          <w:tcPr>
            <w:tcW w:w="76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序号</w:t>
            </w:r>
          </w:p>
        </w:tc>
        <w:tc>
          <w:tcPr>
            <w:tcW w:w="5871"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指标内容</w:t>
            </w:r>
          </w:p>
        </w:tc>
        <w:tc>
          <w:tcPr>
            <w:tcW w:w="155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预期值</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75" w:hRule="atLeast"/>
          <w:jc w:val="center"/>
        </w:trPr>
        <w:tc>
          <w:tcPr>
            <w:tcW w:w="76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center"/>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1</w:t>
            </w:r>
          </w:p>
        </w:tc>
        <w:tc>
          <w:tcPr>
            <w:tcW w:w="5871"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生产安全事故死亡人数</w:t>
            </w:r>
          </w:p>
        </w:tc>
        <w:tc>
          <w:tcPr>
            <w:tcW w:w="155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下降9%</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675" w:hRule="atLeast"/>
          <w:jc w:val="center"/>
        </w:trPr>
        <w:tc>
          <w:tcPr>
            <w:tcW w:w="76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center"/>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2</w:t>
            </w:r>
          </w:p>
        </w:tc>
        <w:tc>
          <w:tcPr>
            <w:tcW w:w="5871"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5年累计重特大生产安全事故起数</w:t>
            </w:r>
          </w:p>
        </w:tc>
        <w:tc>
          <w:tcPr>
            <w:tcW w:w="155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0起</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75" w:hRule="atLeast"/>
          <w:jc w:val="center"/>
        </w:trPr>
        <w:tc>
          <w:tcPr>
            <w:tcW w:w="76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center"/>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3</w:t>
            </w:r>
          </w:p>
        </w:tc>
        <w:tc>
          <w:tcPr>
            <w:tcW w:w="5871"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both"/>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亿元生产总值生产安全事故死亡率</w:t>
            </w:r>
          </w:p>
        </w:tc>
        <w:tc>
          <w:tcPr>
            <w:tcW w:w="155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both"/>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下降37.5%</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675" w:hRule="atLeast"/>
          <w:jc w:val="center"/>
        </w:trPr>
        <w:tc>
          <w:tcPr>
            <w:tcW w:w="76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center"/>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4</w:t>
            </w:r>
          </w:p>
        </w:tc>
        <w:tc>
          <w:tcPr>
            <w:tcW w:w="5871"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lef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年均因自然灾害直接经济损失占生产总值的比例</w:t>
            </w:r>
          </w:p>
        </w:tc>
        <w:tc>
          <w:tcPr>
            <w:tcW w:w="155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tabs>
                <w:tab w:val="left" w:pos="487"/>
              </w:tabs>
              <w:spacing w:line="579" w:lineRule="exact"/>
              <w:jc w:val="lef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75" w:hRule="atLeast"/>
          <w:jc w:val="center"/>
        </w:trPr>
        <w:tc>
          <w:tcPr>
            <w:tcW w:w="76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center"/>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5</w:t>
            </w:r>
          </w:p>
        </w:tc>
        <w:tc>
          <w:tcPr>
            <w:tcW w:w="5871"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lef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年均每百万人口因自然灾害死亡率</w:t>
            </w:r>
          </w:p>
        </w:tc>
        <w:tc>
          <w:tcPr>
            <w:tcW w:w="155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lef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≤1%</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691" w:hRule="atLeast"/>
          <w:jc w:val="center"/>
        </w:trPr>
        <w:tc>
          <w:tcPr>
            <w:tcW w:w="766"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center"/>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6</w:t>
            </w:r>
          </w:p>
        </w:tc>
        <w:tc>
          <w:tcPr>
            <w:tcW w:w="5871" w:type="dxa"/>
            <w:tcBorders>
              <w:top w:val="single" w:color="E5E5E5" w:sz="6" w:space="0"/>
              <w:left w:val="single" w:color="E5E5E5" w:sz="6" w:space="0"/>
              <w:bottom w:val="single" w:color="E5E5E5" w:sz="6" w:space="0"/>
              <w:right w:val="single" w:color="E5E5E5" w:sz="6" w:space="0"/>
            </w:tcBorders>
            <w:shd w:val="clear" w:color="auto" w:fill="auto"/>
            <w:tcMar>
              <w:top w:w="75" w:type="dxa"/>
              <w:left w:w="75" w:type="dxa"/>
              <w:bottom w:w="75" w:type="dxa"/>
              <w:right w:w="75" w:type="dxa"/>
            </w:tcMar>
            <w:vAlign w:val="center"/>
          </w:tcPr>
          <w:p>
            <w:pPr>
              <w:spacing w:line="579" w:lineRule="exact"/>
              <w:jc w:val="left"/>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年均每十万人受灾人次</w:t>
            </w:r>
          </w:p>
        </w:tc>
        <w:tc>
          <w:tcPr>
            <w:tcW w:w="1556" w:type="dxa"/>
            <w:tcBorders>
              <w:top w:val="outset" w:color="auto" w:sz="6" w:space="0"/>
              <w:left w:val="nil"/>
              <w:bottom w:val="outset" w:color="auto" w:sz="6" w:space="0"/>
              <w:right w:val="outset" w:color="auto" w:sz="6" w:space="0"/>
            </w:tcBorders>
            <w:shd w:val="clear" w:color="auto" w:fill="auto"/>
            <w:vAlign w:val="center"/>
          </w:tcPr>
          <w:p>
            <w:pPr>
              <w:spacing w:line="579" w:lineRule="exact"/>
              <w:ind w:firstLine="640" w:firstLineChars="200"/>
              <w:jc w:val="left"/>
              <w:rPr>
                <w:rFonts w:hint="eastAsia" w:ascii="Times New Roman" w:hAnsi="Times New Roman" w:eastAsia="方正仿宋_GBK" w:cs="Times New Roman"/>
                <w:sz w:val="32"/>
                <w:lang w:val="en-US" w:eastAsia="zh-CN"/>
              </w:rPr>
            </w:pPr>
          </w:p>
        </w:tc>
      </w:tr>
    </w:tbl>
    <w:p>
      <w:pPr>
        <w:numPr>
          <w:ilvl w:val="0"/>
          <w:numId w:val="0"/>
        </w:numPr>
        <w:spacing w:line="570" w:lineRule="exact"/>
        <w:ind w:leftChars="0"/>
        <w:rPr>
          <w:rFonts w:hint="eastAsia" w:ascii="Times New Roman" w:hAnsi="Times New Roman" w:eastAsia="楷体"/>
          <w:sz w:val="32"/>
          <w:szCs w:val="32"/>
          <w:lang w:val="en-US" w:eastAsia="zh-CN"/>
        </w:rPr>
      </w:pPr>
      <w:r>
        <w:rPr>
          <w:rFonts w:hint="eastAsia" w:ascii="Times New Roman" w:hAnsi="Times New Roman" w:eastAsia="楷体"/>
          <w:sz w:val="32"/>
          <w:szCs w:val="32"/>
          <w:lang w:val="en-US" w:eastAsia="zh-CN"/>
        </w:rPr>
        <w:t>（四）主要任务。</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一是深化应急管理机制体制改革。以应急管理工作改革为导向，持续开展技术创新和管理创新，按照我市构建行政管理、组织指挥、应急力量、制度保障“四大体系”要求，进一步深化“统一领导、综合协调、分类管理、分级负责、属地管理为主”的应急管理体制，加强和补充我区应急管理政策工具的出台和研究。</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二是继续强化风险预防治理能力建设。</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通过加强风险监测预警能力、安全生产风险防范能力、自然灾害综合风险防治能力、灾害恢复重建能力、推进防灾减灾基础工程建设和发挥市场机制防灾减灾作用等方面深入推进风险防御治理能力建设。</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三是提升应急救援队伍能力建设。根据坚持素质建队、坚持科技强队、坚持规范治队、坚持文化塑队的原则，按照重庆市四级综合应急救援队伍整体建设要求，增强我区各类应急救援队伍能力建设，明确救援人员配置及装备配备的标准，加强高科技含量的装备配置，强化队伍联合联动训练，健全快速调动机制，提高队伍协同应急作战能力。</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四是促进应急资源保障能力建设。加强应急队伍、救灾物资、救援装备、装备物资企业、运输保障资源、通讯保障资源、医疗卫生资源和重点避难场所建设。</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五是加强安全文化教育培训建设。充分调动社会各界参与安全、学习安全、重视安全的积极性，防止和减少生产安全事故，加强自然灾害防治，保障人民群众生命和财产安全。</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六是推动应急管理业态创新。通过人才创新、科技创新、产业创新、技术创新、文化创新、市场创新6各方面实现业态创新。</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七是推进应急管理信息化建设。抓住应急管理事业改革发展的重大战略机遇，加快推进应急管理信息化水平，提升我区应急管理工作科学化、专业化、智能化和精细化的“四化”能力。</w:t>
      </w:r>
    </w:p>
    <w:p>
      <w:pPr>
        <w:numPr>
          <w:ilvl w:val="0"/>
          <w:numId w:val="0"/>
        </w:numPr>
        <w:spacing w:line="570" w:lineRule="exact"/>
        <w:ind w:leftChars="0"/>
        <w:rPr>
          <w:rFonts w:hint="eastAsia" w:ascii="Times New Roman" w:hAnsi="Times New Roman" w:eastAsia="楷体"/>
          <w:sz w:val="32"/>
          <w:szCs w:val="32"/>
          <w:lang w:eastAsia="zh-CN"/>
        </w:rPr>
      </w:pPr>
      <w:r>
        <w:rPr>
          <w:rFonts w:hint="eastAsia" w:ascii="Times New Roman" w:hAnsi="Times New Roman" w:eastAsia="楷体"/>
          <w:sz w:val="32"/>
          <w:szCs w:val="32"/>
          <w:lang w:eastAsia="zh-CN"/>
        </w:rPr>
        <w:t>（</w:t>
      </w:r>
      <w:r>
        <w:rPr>
          <w:rFonts w:hint="eastAsia" w:ascii="Times New Roman" w:hAnsi="Times New Roman" w:eastAsia="楷体"/>
          <w:sz w:val="32"/>
          <w:szCs w:val="32"/>
          <w:lang w:val="en-US" w:eastAsia="zh-CN"/>
        </w:rPr>
        <w:t>五</w:t>
      </w:r>
      <w:r>
        <w:rPr>
          <w:rFonts w:hint="eastAsia" w:ascii="Times New Roman" w:hAnsi="Times New Roman" w:eastAsia="楷体"/>
          <w:sz w:val="32"/>
          <w:szCs w:val="32"/>
          <w:lang w:eastAsia="zh-CN"/>
        </w:rPr>
        <w:t>）重点工程</w:t>
      </w:r>
    </w:p>
    <w:p>
      <w:pPr>
        <w:spacing w:line="579" w:lineRule="exact"/>
        <w:ind w:firstLine="640" w:firstLineChars="200"/>
        <w:rPr>
          <w:rFonts w:hint="eastAsia"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为保障全面实现规划目标、落实各项规划任务，谋划实施四类重点工程：防灾减灾能力提升工程、应急保障能力提升工程、指挥救援能力提升工程、智慧应急能力提升工程。</w:t>
      </w:r>
    </w:p>
    <w:p>
      <w:pPr>
        <w:pStyle w:val="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315" w:lineRule="atLeast"/>
        <w:ind w:leftChars="0" w:right="0" w:rightChars="0"/>
        <w:jc w:val="both"/>
        <w:rPr>
          <w:rFonts w:hint="eastAsia" w:ascii="Times New Roman" w:hAnsi="Times New Roman" w:eastAsia="楷体" w:cstheme="minorBidi"/>
          <w:kern w:val="2"/>
          <w:sz w:val="32"/>
          <w:szCs w:val="32"/>
          <w:lang w:val="en-US" w:eastAsia="zh-CN" w:bidi="ar-SA"/>
        </w:rPr>
      </w:pPr>
      <w:r>
        <w:rPr>
          <w:rFonts w:hint="eastAsia" w:ascii="Times New Roman" w:hAnsi="Times New Roman" w:eastAsia="楷体" w:cstheme="minorBidi"/>
          <w:kern w:val="2"/>
          <w:sz w:val="32"/>
          <w:szCs w:val="32"/>
          <w:lang w:val="en-US" w:eastAsia="zh-CN" w:bidi="ar-SA"/>
        </w:rPr>
        <w:t>（六）保障措施</w:t>
      </w:r>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主要包括加强组织保障、加强机制保障、多元科研汇集、加强经费保障等4项措施。</w:t>
      </w:r>
    </w:p>
    <w:p>
      <w:pPr>
        <w:numPr>
          <w:ilvl w:val="0"/>
          <w:numId w:val="0"/>
        </w:numPr>
        <w:rPr>
          <w:rFonts w:hint="eastAsia" w:ascii="方正仿宋_GBK" w:hAnsi="方正仿宋_GBK" w:eastAsia="方正仿宋_GBK" w:cs="方正仿宋_GBK"/>
          <w:b/>
          <w:bCs w:val="0"/>
          <w:i w:val="0"/>
          <w:iCs w:val="0"/>
          <w:caps w:val="0"/>
          <w:color w:val="333333"/>
          <w:spacing w:val="0"/>
          <w:sz w:val="31"/>
          <w:szCs w:val="31"/>
          <w:shd w:val="clear" w:fill="FFFFFF"/>
          <w:lang w:val="en-US" w:eastAsia="zh-CN"/>
        </w:rPr>
      </w:pPr>
      <w:r>
        <w:rPr>
          <w:rFonts w:hint="eastAsia" w:ascii="方正仿宋_GBK" w:hAnsi="方正仿宋_GBK" w:eastAsia="方正仿宋_GBK" w:cs="方正仿宋_GBK"/>
          <w:b/>
          <w:bCs w:val="0"/>
          <w:i w:val="0"/>
          <w:iCs w:val="0"/>
          <w:caps w:val="0"/>
          <w:color w:val="333333"/>
          <w:spacing w:val="0"/>
          <w:sz w:val="31"/>
          <w:szCs w:val="31"/>
          <w:shd w:val="clear" w:fill="FFFFFF"/>
          <w:lang w:val="en-US" w:eastAsia="zh-CN"/>
        </w:rPr>
        <w:t>三、制定目的</w:t>
      </w:r>
      <w:bookmarkStart w:id="0" w:name="_GoBack"/>
      <w:bookmarkEnd w:id="0"/>
    </w:p>
    <w:p>
      <w:pPr>
        <w:spacing w:line="579" w:lineRule="exact"/>
        <w:ind w:firstLine="640" w:firstLineChars="200"/>
        <w:rPr>
          <w:rFonts w:hint="default" w:ascii="Times New Roman" w:hAnsi="Times New Roman" w:eastAsia="方正仿宋_GBK" w:cs="Times New Roman"/>
          <w:sz w:val="32"/>
          <w:lang w:val="en-US" w:eastAsia="zh-CN"/>
        </w:rPr>
      </w:pPr>
      <w:r>
        <w:rPr>
          <w:rFonts w:hint="eastAsia" w:ascii="Times New Roman" w:hAnsi="Times New Roman" w:eastAsia="方正仿宋_GBK" w:cs="Times New Roman"/>
          <w:sz w:val="32"/>
          <w:lang w:val="en-US" w:eastAsia="zh-CN"/>
        </w:rPr>
        <w:t>依靠科技提高应急管理的科学化、专业化、智能化和精细化水平，着眼体制机制法制、装备、队伍、教育培训等功能要素，为提高我区灾害事故防控水平和应急管理保障能力注入新动能。始终以人民为中心的发展思想，有力保障人民群众生命和财产安全，全面实现新区安全治理体系和能力现代化。</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5D38437"/>
    <w:multiLevelType w:val="singleLevel"/>
    <w:tmpl w:val="A5D3843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0B6177"/>
    <w:rsid w:val="230B6177"/>
    <w:rsid w:val="51BA5D46"/>
    <w:rsid w:val="7CFC01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Message Header"/>
    <w:basedOn w:val="1"/>
    <w:next w:val="3"/>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rPr>
  </w:style>
  <w:style w:type="paragraph" w:styleId="3">
    <w:name w:val="Body Text"/>
    <w:basedOn w:val="1"/>
    <w:next w:val="1"/>
    <w:qFormat/>
    <w:uiPriority w:val="0"/>
  </w:style>
  <w:style w:type="paragraph" w:styleId="6">
    <w:name w:val="Normal (Web)"/>
    <w:basedOn w:val="1"/>
    <w:uiPriority w:val="0"/>
    <w:pPr>
      <w:spacing w:before="0" w:beforeAutospacing="1" w:after="0" w:afterAutospacing="1"/>
      <w:ind w:left="0" w:right="0"/>
      <w:jc w:val="left"/>
    </w:pPr>
    <w:rPr>
      <w:kern w:val="0"/>
      <w:sz w:val="24"/>
      <w:lang w:val="en-US" w:eastAsia="zh-CN" w:bidi="ar"/>
    </w:rPr>
  </w:style>
  <w:style w:type="character" w:styleId="9">
    <w:name w:val="Strong"/>
    <w:qFormat/>
    <w:uiPriority w:val="22"/>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Office_11.1.0.11194_F1E327BC-269C-435d-A152-05C5408002CA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2022-01-04T03:26:00Z</dcterms:created>
  <dc:creator>Aurora</dc:creator>
  <cp:lastModifiedBy>Aurora</cp:lastModifiedBy>
  <dcterms:modified xsi:type="dcterms:W3CDTF">2022-01-05T01:35:41Z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2052-11.1.0.11194</vt:lpwstr>
  </property>
  <property fmtid="{D5CDD505-2E9C-101B-9397-08002B2CF9AE}" pid="3" name="ICV">
    <vt:lpwstr>23CB90160C4544E185285B65C2264F71</vt:lpwstr>
  </property>
</Properties>
</file>