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仿宋_GBK" w:eastAsia="方正仿宋_GBK"/>
        </w:rPr>
      </w:pPr>
    </w:p>
    <w:p>
      <w:pPr>
        <w:jc w:val="center"/>
        <w:rPr>
          <w:rFonts w:ascii="方正仿宋_GBK" w:eastAsia="方正仿宋_GBK"/>
        </w:rPr>
      </w:pPr>
    </w:p>
    <w:p>
      <w:pPr>
        <w:spacing w:line="600" w:lineRule="exact"/>
        <w:jc w:val="center"/>
        <w:rPr>
          <w:rFonts w:ascii="方正仿宋_GBK" w:eastAsia="方正仿宋_GBK"/>
        </w:rPr>
      </w:pPr>
    </w:p>
    <w:p>
      <w:pPr>
        <w:spacing w:line="600" w:lineRule="exact"/>
        <w:jc w:val="center"/>
        <w:rPr>
          <w:rFonts w:ascii="方正小标宋_GBK" w:eastAsia="方正小标宋_GBK"/>
          <w:sz w:val="48"/>
          <w:szCs w:val="48"/>
        </w:rPr>
      </w:pPr>
      <w:r>
        <w:rPr>
          <w:rFonts w:hint="eastAsia" w:ascii="方正小标宋_GBK" w:eastAsia="方正小标宋_GBK"/>
          <w:sz w:val="48"/>
          <w:szCs w:val="48"/>
        </w:rPr>
        <w:t>重庆两江新区</w:t>
      </w:r>
    </w:p>
    <w:p>
      <w:pPr>
        <w:spacing w:line="600" w:lineRule="exact"/>
        <w:jc w:val="center"/>
        <w:rPr>
          <w:rFonts w:ascii="方正仿宋_GBK" w:eastAsia="方正仿宋_GBK"/>
          <w:sz w:val="48"/>
          <w:szCs w:val="48"/>
        </w:rPr>
      </w:pPr>
      <w:r>
        <w:rPr>
          <w:rFonts w:hint="eastAsia" w:ascii="方正小标宋_GBK" w:eastAsia="方正小标宋_GBK"/>
          <w:sz w:val="48"/>
          <w:szCs w:val="48"/>
        </w:rPr>
        <w:t>“十四五”应急管理专项规划</w:t>
      </w:r>
    </w:p>
    <w:p>
      <w:pPr>
        <w:spacing w:line="600" w:lineRule="exact"/>
        <w:rPr>
          <w:rFonts w:ascii="方正仿宋_GBK" w:eastAsia="方正仿宋_GBK"/>
        </w:rPr>
      </w:pPr>
      <w:r>
        <w:rPr>
          <w:rFonts w:hint="eastAsia" w:ascii="方正仿宋_GBK" w:eastAsia="方正仿宋_GBK"/>
        </w:rPr>
        <w:t xml:space="preserve">                    </w:t>
      </w:r>
    </w:p>
    <w:p>
      <w:pPr>
        <w:jc w:val="center"/>
        <w:rPr>
          <w:rFonts w:ascii="方正楷体_GBK" w:eastAsia="方正楷体_GBK"/>
          <w:sz w:val="36"/>
          <w:szCs w:val="36"/>
        </w:rPr>
      </w:pPr>
      <w:r>
        <w:rPr>
          <w:rFonts w:hint="eastAsia" w:ascii="方正楷体_GBK" w:eastAsia="方正楷体_GBK"/>
          <w:sz w:val="36"/>
          <w:szCs w:val="36"/>
        </w:rPr>
        <w:t xml:space="preserve"> （2021-2025年）</w:t>
      </w: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rPr>
      </w:pPr>
    </w:p>
    <w:p>
      <w:pPr>
        <w:jc w:val="center"/>
        <w:rPr>
          <w:rFonts w:ascii="方正仿宋_GBK" w:eastAsia="方正仿宋_GBK"/>
          <w:szCs w:val="32"/>
        </w:rPr>
      </w:pPr>
      <w:r>
        <w:rPr>
          <w:rFonts w:hint="eastAsia" w:ascii="方正仿宋_GBK" w:eastAsia="方正仿宋_GBK"/>
          <w:szCs w:val="32"/>
        </w:rPr>
        <w:t>重庆两江新区管理委员会</w:t>
      </w:r>
    </w:p>
    <w:p>
      <w:pPr>
        <w:spacing w:line="360" w:lineRule="auto"/>
        <w:jc w:val="center"/>
        <w:rPr>
          <w:rFonts w:ascii="方正仿宋_GBK" w:eastAsia="方正仿宋_GBK"/>
          <w:szCs w:val="32"/>
        </w:rPr>
      </w:pPr>
      <w:r>
        <w:rPr>
          <w:rFonts w:hint="eastAsia" w:ascii="方正仿宋_GBK" w:eastAsia="方正仿宋_GBK"/>
          <w:szCs w:val="32"/>
        </w:rPr>
        <w:t>202</w:t>
      </w:r>
      <w:r>
        <w:rPr>
          <w:rFonts w:ascii="方正仿宋_GBK" w:eastAsia="方正仿宋_GBK"/>
          <w:szCs w:val="32"/>
        </w:rPr>
        <w:t>1</w:t>
      </w:r>
      <w:r>
        <w:rPr>
          <w:rFonts w:hint="eastAsia" w:ascii="方正仿宋_GBK" w:eastAsia="方正仿宋_GBK"/>
          <w:szCs w:val="32"/>
        </w:rPr>
        <w:t>年12月</w:t>
      </w:r>
    </w:p>
    <w:p>
      <w:pPr>
        <w:widowControl/>
        <w:jc w:val="left"/>
        <w:rPr>
          <w:rFonts w:ascii="方正仿宋_GBK" w:eastAsia="方正仿宋_GBK"/>
        </w:rPr>
      </w:pPr>
      <w:r>
        <w:rPr>
          <w:rFonts w:ascii="方正仿宋_GBK" w:eastAsia="方正仿宋_GBK"/>
        </w:rPr>
        <w:br w:type="page"/>
      </w:r>
    </w:p>
    <w:p>
      <w:pPr>
        <w:jc w:val="center"/>
        <w:rPr>
          <w:rFonts w:ascii="方正黑体_GBK" w:eastAsia="方正黑体_GBK"/>
          <w:bCs/>
          <w:sz w:val="36"/>
          <w:szCs w:val="36"/>
        </w:rPr>
      </w:pPr>
      <w:r>
        <w:rPr>
          <w:rFonts w:hint="eastAsia" w:ascii="方正黑体_GBK" w:eastAsia="方正黑体_GBK"/>
          <w:bCs/>
          <w:sz w:val="36"/>
          <w:szCs w:val="36"/>
        </w:rPr>
        <w:t>目  录</w:t>
      </w:r>
    </w:p>
    <w:p>
      <w:pPr>
        <w:pStyle w:val="28"/>
        <w:spacing w:line="360" w:lineRule="exact"/>
        <w:rPr>
          <w:rFonts w:hAnsiTheme="minorHAnsi" w:eastAsiaTheme="minorEastAsia" w:cstheme="minorBidi"/>
          <w:b w:val="0"/>
          <w:bCs w:val="0"/>
          <w:caps w:val="0"/>
          <w:sz w:val="21"/>
          <w:szCs w:val="22"/>
        </w:rPr>
      </w:pPr>
      <w:r>
        <w:rPr>
          <w:rFonts w:ascii="方正仿宋_GBK" w:hAnsi="仿宋" w:eastAsia="方正仿宋_GBK"/>
          <w:sz w:val="24"/>
          <w:szCs w:val="24"/>
        </w:rPr>
        <w:fldChar w:fldCharType="begin"/>
      </w:r>
      <w:r>
        <w:rPr>
          <w:rFonts w:ascii="方正仿宋_GBK" w:hAnsi="仿宋" w:eastAsia="方正仿宋_GBK"/>
          <w:sz w:val="24"/>
          <w:szCs w:val="24"/>
        </w:rPr>
        <w:instrText xml:space="preserve"> TOC \o "1-3" \h \z \u </w:instrText>
      </w:r>
      <w:r>
        <w:rPr>
          <w:rFonts w:ascii="方正仿宋_GBK" w:hAnsi="仿宋" w:eastAsia="方正仿宋_GBK"/>
          <w:sz w:val="24"/>
          <w:szCs w:val="24"/>
        </w:rPr>
        <w:fldChar w:fldCharType="separate"/>
      </w:r>
      <w:r>
        <w:fldChar w:fldCharType="begin"/>
      </w:r>
      <w:r>
        <w:instrText xml:space="preserve"> HYPERLINK \l "_Toc87275307" </w:instrText>
      </w:r>
      <w:r>
        <w:fldChar w:fldCharType="separate"/>
      </w:r>
      <w:r>
        <w:rPr>
          <w:rStyle w:val="42"/>
          <w:rFonts w:hint="eastAsia" w:ascii="方正黑体_GBK" w:eastAsia="方正黑体_GBK"/>
          <w:kern w:val="44"/>
        </w:rPr>
        <w:t>一、“十三五”时期建设成效和不足</w:t>
      </w:r>
      <w:r>
        <w:tab/>
      </w:r>
      <w:r>
        <w:fldChar w:fldCharType="begin"/>
      </w:r>
      <w:r>
        <w:instrText xml:space="preserve"> PAGEREF _Toc87275307 \h </w:instrText>
      </w:r>
      <w:r>
        <w:fldChar w:fldCharType="separate"/>
      </w:r>
      <w:r>
        <w:t>1</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"_Toc87275308" </w:instrText>
      </w:r>
      <w:r>
        <w:fldChar w:fldCharType="separate"/>
      </w:r>
      <w:r>
        <w:rPr>
          <w:rStyle w:val="42"/>
          <w:rFonts w:hint="eastAsia" w:ascii="方正楷体_GBK" w:eastAsia="方正楷体_GBK"/>
          <w:bCs/>
        </w:rPr>
        <w:t>（一）建设成效</w:t>
      </w:r>
      <w:r>
        <w:tab/>
      </w:r>
      <w:r>
        <w:fldChar w:fldCharType="begin"/>
      </w:r>
      <w:r>
        <w:instrText xml:space="preserve"> PAGEREF _Toc87275308 \h </w:instrText>
      </w:r>
      <w:r>
        <w:fldChar w:fldCharType="separate"/>
      </w:r>
      <w:r>
        <w:t>1</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"_Toc87275309" </w:instrText>
      </w:r>
      <w:r>
        <w:fldChar w:fldCharType="separate"/>
      </w:r>
      <w:r>
        <w:rPr>
          <w:rStyle w:val="42"/>
          <w:rFonts w:hint="eastAsia" w:ascii="方正楷体_GBK" w:eastAsia="方正楷体_GBK"/>
          <w:bCs/>
        </w:rPr>
        <w:t>（二）主要不足</w:t>
      </w:r>
      <w:r>
        <w:tab/>
      </w:r>
      <w:r>
        <w:fldChar w:fldCharType="begin"/>
      </w:r>
      <w:r>
        <w:instrText xml:space="preserve"> PAGEREF _Toc87275309 \h </w:instrText>
      </w:r>
      <w:r>
        <w:fldChar w:fldCharType="separate"/>
      </w:r>
      <w:r>
        <w:t>6</w:t>
      </w:r>
      <w:r>
        <w:fldChar w:fldCharType="end"/>
      </w:r>
      <w:r>
        <w:fldChar w:fldCharType="end"/>
      </w:r>
    </w:p>
    <w:p>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"_Toc87275310" </w:instrText>
      </w:r>
      <w:r>
        <w:fldChar w:fldCharType="separate"/>
      </w:r>
      <w:r>
        <w:rPr>
          <w:rStyle w:val="42"/>
          <w:rFonts w:hint="eastAsia" w:ascii="方正黑体_GBK" w:eastAsia="方正黑体_GBK"/>
          <w:kern w:val="44"/>
        </w:rPr>
        <w:t>二、“十四五”时期面临的机遇和挑战</w:t>
      </w:r>
      <w:r>
        <w:tab/>
      </w:r>
      <w:r>
        <w:fldChar w:fldCharType="begin"/>
      </w:r>
      <w:r>
        <w:instrText xml:space="preserve"> PAGEREF _Toc87275310 \h </w:instrText>
      </w:r>
      <w:r>
        <w:fldChar w:fldCharType="separate"/>
      </w:r>
      <w:r>
        <w:t>8</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"_Toc87275311" </w:instrText>
      </w:r>
      <w:r>
        <w:fldChar w:fldCharType="separate"/>
      </w:r>
      <w:r>
        <w:rPr>
          <w:rStyle w:val="42"/>
          <w:rFonts w:hint="eastAsia" w:ascii="方正楷体_GBK" w:eastAsia="方正楷体_GBK"/>
          <w:bCs/>
        </w:rPr>
        <w:t>（一）面临的机遇</w:t>
      </w:r>
      <w:r>
        <w:tab/>
      </w:r>
      <w:r>
        <w:fldChar w:fldCharType="begin"/>
      </w:r>
      <w:r>
        <w:instrText xml:space="preserve"> PAGEREF _Toc87275311 \h </w:instrText>
      </w:r>
      <w:r>
        <w:fldChar w:fldCharType="separate"/>
      </w:r>
      <w:r>
        <w:t>8</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"_Toc87275312" </w:instrText>
      </w:r>
      <w:r>
        <w:fldChar w:fldCharType="separate"/>
      </w:r>
      <w:r>
        <w:rPr>
          <w:rStyle w:val="42"/>
          <w:rFonts w:hint="eastAsia" w:ascii="方正楷体_GBK" w:eastAsia="方正楷体_GBK"/>
          <w:bCs/>
        </w:rPr>
        <w:t>（二）面临的挑战</w:t>
      </w:r>
      <w:r>
        <w:tab/>
      </w:r>
      <w:r>
        <w:fldChar w:fldCharType="begin"/>
      </w:r>
      <w:r>
        <w:instrText xml:space="preserve"> PAGEREF _Toc87275312 \h </w:instrText>
      </w:r>
      <w:r>
        <w:fldChar w:fldCharType="separate"/>
      </w:r>
      <w:r>
        <w:t>10</w:t>
      </w:r>
      <w:r>
        <w:fldChar w:fldCharType="end"/>
      </w:r>
      <w:r>
        <w:fldChar w:fldCharType="end"/>
      </w:r>
    </w:p>
    <w:p>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"_Toc87275313" </w:instrText>
      </w:r>
      <w:r>
        <w:fldChar w:fldCharType="separate"/>
      </w:r>
      <w:r>
        <w:rPr>
          <w:rStyle w:val="42"/>
          <w:rFonts w:hint="eastAsia" w:ascii="方正黑体_GBK" w:eastAsia="方正黑体_GBK"/>
          <w:kern w:val="44"/>
        </w:rPr>
        <w:t>三、指导思想、基本原则和发展目标</w:t>
      </w:r>
      <w:r>
        <w:tab/>
      </w:r>
      <w:r>
        <w:fldChar w:fldCharType="begin"/>
      </w:r>
      <w:r>
        <w:instrText xml:space="preserve"> PAGEREF _Toc87275313 \h </w:instrText>
      </w:r>
      <w:r>
        <w:fldChar w:fldCharType="separate"/>
      </w:r>
      <w:r>
        <w:t>11</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"_Toc87275314" </w:instrText>
      </w:r>
      <w:r>
        <w:fldChar w:fldCharType="separate"/>
      </w:r>
      <w:r>
        <w:rPr>
          <w:rStyle w:val="42"/>
          <w:rFonts w:hint="eastAsia" w:ascii="方正楷体_GBK" w:eastAsia="方正楷体_GBK"/>
          <w:bCs/>
        </w:rPr>
        <w:t>（一）指导思想</w:t>
      </w:r>
      <w:r>
        <w:tab/>
      </w:r>
      <w:r>
        <w:fldChar w:fldCharType="begin"/>
      </w:r>
      <w:r>
        <w:instrText xml:space="preserve"> PAGEREF _Toc87275314 \h </w:instrText>
      </w:r>
      <w:r>
        <w:fldChar w:fldCharType="separate"/>
      </w:r>
      <w:r>
        <w:t>11</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"_Toc87275315" </w:instrText>
      </w:r>
      <w:r>
        <w:fldChar w:fldCharType="separate"/>
      </w:r>
      <w:r>
        <w:rPr>
          <w:rStyle w:val="42"/>
          <w:rFonts w:hint="eastAsia" w:ascii="方正楷体_GBK" w:eastAsia="方正楷体_GBK"/>
          <w:bCs/>
        </w:rPr>
        <w:t>（二）基本原则</w:t>
      </w:r>
      <w:r>
        <w:tab/>
      </w:r>
      <w:r>
        <w:fldChar w:fldCharType="begin"/>
      </w:r>
      <w:r>
        <w:instrText xml:space="preserve"> PAGEREF _Toc87275315 \h </w:instrText>
      </w:r>
      <w:r>
        <w:fldChar w:fldCharType="separate"/>
      </w:r>
      <w:r>
        <w:t>12</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"_Toc87275316" </w:instrText>
      </w:r>
      <w:r>
        <w:fldChar w:fldCharType="separate"/>
      </w:r>
      <w:r>
        <w:rPr>
          <w:rStyle w:val="42"/>
          <w:rFonts w:hint="eastAsia" w:ascii="方正楷体_GBK" w:eastAsia="方正楷体_GBK"/>
          <w:bCs/>
        </w:rPr>
        <w:t>（三）发展目标</w:t>
      </w:r>
      <w:r>
        <w:tab/>
      </w:r>
      <w:r>
        <w:fldChar w:fldCharType="begin"/>
      </w:r>
      <w:r>
        <w:instrText xml:space="preserve"> PAGEREF _Toc87275316 \h </w:instrText>
      </w:r>
      <w:r>
        <w:fldChar w:fldCharType="separate"/>
      </w:r>
      <w:r>
        <w:t>13</w:t>
      </w:r>
      <w:r>
        <w:fldChar w:fldCharType="end"/>
      </w:r>
      <w:r>
        <w:fldChar w:fldCharType="end"/>
      </w:r>
    </w:p>
    <w:p>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"_Toc87275317" </w:instrText>
      </w:r>
      <w:r>
        <w:fldChar w:fldCharType="separate"/>
      </w:r>
      <w:r>
        <w:rPr>
          <w:rStyle w:val="42"/>
          <w:rFonts w:hint="eastAsia" w:ascii="方正黑体_GBK" w:eastAsia="方正黑体_GBK"/>
          <w:kern w:val="44"/>
        </w:rPr>
        <w:t>四、主要任务</w:t>
      </w:r>
      <w:r>
        <w:tab/>
      </w:r>
      <w:r>
        <w:fldChar w:fldCharType="begin"/>
      </w:r>
      <w:r>
        <w:instrText xml:space="preserve"> PAGEREF _Toc87275317 \h </w:instrText>
      </w:r>
      <w:r>
        <w:fldChar w:fldCharType="separate"/>
      </w:r>
      <w:r>
        <w:t>16</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"_Toc87275318" </w:instrText>
      </w:r>
      <w:r>
        <w:fldChar w:fldCharType="separate"/>
      </w:r>
      <w:r>
        <w:rPr>
          <w:rStyle w:val="42"/>
          <w:rFonts w:hint="eastAsia" w:ascii="方正楷体_GBK" w:eastAsia="方正楷体_GBK"/>
          <w:bCs/>
        </w:rPr>
        <w:t>（一）深化应急管理机制体制改革</w:t>
      </w:r>
      <w:r>
        <w:tab/>
      </w:r>
      <w:r>
        <w:fldChar w:fldCharType="begin"/>
      </w:r>
      <w:r>
        <w:instrText xml:space="preserve"> PAGEREF _Toc87275318 \h </w:instrText>
      </w:r>
      <w:r>
        <w:fldChar w:fldCharType="separate"/>
      </w:r>
      <w:r>
        <w:t>16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"_Toc87275319" </w:instrText>
      </w:r>
      <w:r>
        <w:fldChar w:fldCharType="separate"/>
      </w:r>
      <w:r>
        <w:rPr>
          <w:rStyle w:val="42"/>
          <w:rFonts w:ascii="方正仿宋_GBK" w:hAnsi="宋体" w:eastAsia="方正仿宋_GBK"/>
        </w:rPr>
        <w:t>1.</w:t>
      </w:r>
      <w:r>
        <w:rPr>
          <w:rStyle w:val="42"/>
          <w:rFonts w:hint="eastAsia" w:ascii="方正仿宋_GBK" w:hAnsi="宋体" w:eastAsia="方正仿宋_GBK"/>
        </w:rPr>
        <w:t>强化组织领导机制</w:t>
      </w:r>
      <w:r>
        <w:tab/>
      </w:r>
      <w:r>
        <w:fldChar w:fldCharType="begin"/>
      </w:r>
      <w:r>
        <w:instrText xml:space="preserve"> PAGEREF _Toc87275319 \h </w:instrText>
      </w:r>
      <w:r>
        <w:fldChar w:fldCharType="separate"/>
      </w:r>
      <w:r>
        <w:t>16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"_Toc87275320" </w:instrText>
      </w:r>
      <w:r>
        <w:fldChar w:fldCharType="separate"/>
      </w:r>
      <w:r>
        <w:rPr>
          <w:rStyle w:val="42"/>
          <w:rFonts w:ascii="方正仿宋_GBK" w:hAnsi="宋体" w:eastAsia="方正仿宋_GBK"/>
        </w:rPr>
        <w:t>2.</w:t>
      </w:r>
      <w:r>
        <w:rPr>
          <w:rStyle w:val="42"/>
          <w:rFonts w:hint="eastAsia" w:ascii="方正仿宋_GBK" w:hAnsi="宋体" w:eastAsia="方正仿宋_GBK"/>
        </w:rPr>
        <w:t>强化行政管理体系</w:t>
      </w:r>
      <w:r>
        <w:tab/>
      </w:r>
      <w:r>
        <w:fldChar w:fldCharType="begin"/>
      </w:r>
      <w:r>
        <w:instrText xml:space="preserve"> PAGEREF _Toc87275320 \h </w:instrText>
      </w:r>
      <w:r>
        <w:fldChar w:fldCharType="separate"/>
      </w:r>
      <w:r>
        <w:t>17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"_Toc87275321" </w:instrText>
      </w:r>
      <w:r>
        <w:fldChar w:fldCharType="separate"/>
      </w:r>
      <w:r>
        <w:rPr>
          <w:rStyle w:val="42"/>
          <w:rFonts w:ascii="方正仿宋_GBK" w:hAnsi="宋体" w:eastAsia="方正仿宋_GBK"/>
        </w:rPr>
        <w:t>3.</w:t>
      </w:r>
      <w:r>
        <w:rPr>
          <w:rStyle w:val="42"/>
          <w:rFonts w:hint="eastAsia" w:ascii="方正仿宋_GBK" w:hAnsi="宋体" w:eastAsia="方正仿宋_GBK"/>
        </w:rPr>
        <w:t>强化统筹联动机制</w:t>
      </w:r>
      <w:r>
        <w:tab/>
      </w:r>
      <w:r>
        <w:fldChar w:fldCharType="begin"/>
      </w:r>
      <w:r>
        <w:instrText xml:space="preserve"> PAGEREF _Toc87275321 \h </w:instrText>
      </w:r>
      <w:r>
        <w:fldChar w:fldCharType="separate"/>
      </w:r>
      <w:r>
        <w:t>17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"_Toc87275322" </w:instrText>
      </w:r>
      <w:r>
        <w:fldChar w:fldCharType="separate"/>
      </w:r>
      <w:r>
        <w:rPr>
          <w:rStyle w:val="42"/>
          <w:rFonts w:ascii="方正仿宋_GBK" w:hAnsi="宋体" w:eastAsia="方正仿宋_GBK"/>
        </w:rPr>
        <w:t>4.</w:t>
      </w:r>
      <w:r>
        <w:rPr>
          <w:rStyle w:val="42"/>
          <w:rFonts w:hint="eastAsia" w:ascii="方正仿宋_GBK" w:hAnsi="宋体" w:eastAsia="方正仿宋_GBK"/>
        </w:rPr>
        <w:t>完善基层应急体系</w:t>
      </w:r>
      <w:r>
        <w:tab/>
      </w:r>
      <w:r>
        <w:fldChar w:fldCharType="begin"/>
      </w:r>
      <w:r>
        <w:instrText xml:space="preserve"> PAGEREF _Toc87275322 \h </w:instrText>
      </w:r>
      <w:r>
        <w:fldChar w:fldCharType="separate"/>
      </w:r>
      <w:r>
        <w:t>17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"_Toc87275323" </w:instrText>
      </w:r>
      <w:r>
        <w:fldChar w:fldCharType="separate"/>
      </w:r>
      <w:r>
        <w:rPr>
          <w:rStyle w:val="42"/>
          <w:rFonts w:ascii="方正仿宋_GBK" w:hAnsi="宋体" w:eastAsia="方正仿宋_GBK"/>
        </w:rPr>
        <w:t>5.</w:t>
      </w:r>
      <w:r>
        <w:rPr>
          <w:rStyle w:val="42"/>
          <w:rFonts w:hint="eastAsia" w:ascii="方正仿宋_GBK" w:hAnsi="宋体" w:eastAsia="方正仿宋_GBK"/>
        </w:rPr>
        <w:t>强化属地管理责任</w:t>
      </w:r>
      <w:r>
        <w:tab/>
      </w:r>
      <w:r>
        <w:fldChar w:fldCharType="begin"/>
      </w:r>
      <w:r>
        <w:instrText xml:space="preserve"> PAGEREF _Toc87275323 \h </w:instrText>
      </w:r>
      <w:r>
        <w:fldChar w:fldCharType="separate"/>
      </w:r>
      <w:r>
        <w:t>17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"_Toc87275324" </w:instrText>
      </w:r>
      <w:r>
        <w:fldChar w:fldCharType="separate"/>
      </w:r>
      <w:r>
        <w:rPr>
          <w:rStyle w:val="42"/>
          <w:rFonts w:ascii="方正仿宋_GBK" w:hAnsi="宋体" w:eastAsia="方正仿宋_GBK"/>
        </w:rPr>
        <w:t>6.</w:t>
      </w:r>
      <w:r>
        <w:rPr>
          <w:rStyle w:val="42"/>
          <w:rFonts w:hint="eastAsia" w:ascii="方正仿宋_GBK" w:hAnsi="宋体" w:eastAsia="方正仿宋_GBK"/>
        </w:rPr>
        <w:t>强化行业监管责任</w:t>
      </w:r>
      <w:r>
        <w:tab/>
      </w:r>
      <w:r>
        <w:fldChar w:fldCharType="begin"/>
      </w:r>
      <w:r>
        <w:instrText xml:space="preserve"> PAGEREF _Toc87275324 \h </w:instrText>
      </w:r>
      <w:r>
        <w:fldChar w:fldCharType="separate"/>
      </w:r>
      <w:r>
        <w:t>18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"_Toc87275325" </w:instrText>
      </w:r>
      <w:r>
        <w:fldChar w:fldCharType="separate"/>
      </w:r>
      <w:r>
        <w:rPr>
          <w:rStyle w:val="42"/>
          <w:rFonts w:ascii="方正仿宋_GBK" w:hAnsi="宋体" w:eastAsia="方正仿宋_GBK"/>
        </w:rPr>
        <w:t>7.</w:t>
      </w:r>
      <w:r>
        <w:rPr>
          <w:rStyle w:val="42"/>
          <w:rFonts w:hint="eastAsia" w:ascii="方正仿宋_GBK" w:hAnsi="宋体" w:eastAsia="方正仿宋_GBK"/>
        </w:rPr>
        <w:t>压实企业主体责任</w:t>
      </w:r>
      <w:r>
        <w:tab/>
      </w:r>
      <w:r>
        <w:fldChar w:fldCharType="begin"/>
      </w:r>
      <w:r>
        <w:instrText xml:space="preserve"> PAGEREF _Toc87275325 \h </w:instrText>
      </w:r>
      <w:r>
        <w:fldChar w:fldCharType="separate"/>
      </w:r>
      <w:r>
        <w:t>18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"_Toc87275326" </w:instrText>
      </w:r>
      <w:r>
        <w:fldChar w:fldCharType="separate"/>
      </w:r>
      <w:r>
        <w:rPr>
          <w:rStyle w:val="42"/>
          <w:rFonts w:ascii="方正仿宋_GBK" w:hAnsi="宋体" w:eastAsia="方正仿宋_GBK"/>
        </w:rPr>
        <w:t>8.</w:t>
      </w:r>
      <w:r>
        <w:rPr>
          <w:rStyle w:val="42"/>
          <w:rFonts w:hint="eastAsia" w:ascii="方正仿宋_GBK" w:hAnsi="宋体" w:eastAsia="方正仿宋_GBK"/>
        </w:rPr>
        <w:t>完善制度保障机制</w:t>
      </w:r>
      <w:r>
        <w:tab/>
      </w:r>
      <w:r>
        <w:fldChar w:fldCharType="begin"/>
      </w:r>
      <w:r>
        <w:instrText xml:space="preserve"> PAGEREF _Toc87275326 \h </w:instrText>
      </w:r>
      <w:r>
        <w:fldChar w:fldCharType="separate"/>
      </w:r>
      <w:r>
        <w:t>18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"_Toc87275327" </w:instrText>
      </w:r>
      <w:r>
        <w:fldChar w:fldCharType="separate"/>
      </w:r>
      <w:r>
        <w:rPr>
          <w:rStyle w:val="42"/>
          <w:rFonts w:ascii="方正仿宋_GBK" w:hAnsi="宋体" w:eastAsia="方正仿宋_GBK"/>
        </w:rPr>
        <w:t>9.</w:t>
      </w:r>
      <w:r>
        <w:rPr>
          <w:rStyle w:val="42"/>
          <w:rFonts w:hint="eastAsia" w:ascii="方正仿宋_GBK" w:hAnsi="宋体" w:eastAsia="方正仿宋_GBK"/>
        </w:rPr>
        <w:t>完善行政执法机制</w:t>
      </w:r>
      <w:r>
        <w:tab/>
      </w:r>
      <w:r>
        <w:fldChar w:fldCharType="begin"/>
      </w:r>
      <w:r>
        <w:instrText xml:space="preserve"> PAGEREF _Toc87275327 \h </w:instrText>
      </w:r>
      <w:r>
        <w:fldChar w:fldCharType="separate"/>
      </w:r>
      <w:r>
        <w:t>18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"_Toc87275328" </w:instrText>
      </w:r>
      <w:r>
        <w:fldChar w:fldCharType="separate"/>
      </w:r>
      <w:r>
        <w:rPr>
          <w:rStyle w:val="42"/>
          <w:rFonts w:ascii="方正仿宋_GBK" w:hAnsi="宋体" w:eastAsia="方正仿宋_GBK"/>
        </w:rPr>
        <w:t>10.</w:t>
      </w:r>
      <w:r>
        <w:rPr>
          <w:rStyle w:val="42"/>
          <w:rFonts w:hint="eastAsia" w:ascii="方正仿宋_GBK" w:hAnsi="宋体" w:eastAsia="方正仿宋_GBK"/>
        </w:rPr>
        <w:t>完善目标考核和责任追究</w:t>
      </w:r>
      <w:r>
        <w:tab/>
      </w:r>
      <w:r>
        <w:fldChar w:fldCharType="begin"/>
      </w:r>
      <w:r>
        <w:instrText xml:space="preserve"> PAGEREF _Toc87275328 \h </w:instrText>
      </w:r>
      <w:r>
        <w:fldChar w:fldCharType="separate"/>
      </w:r>
      <w:r>
        <w:t>19</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"_Toc87275329" </w:instrText>
      </w:r>
      <w:r>
        <w:fldChar w:fldCharType="separate"/>
      </w:r>
      <w:r>
        <w:rPr>
          <w:rStyle w:val="42"/>
          <w:rFonts w:hint="eastAsia" w:ascii="方正楷体_GBK" w:eastAsia="方正楷体_GBK"/>
          <w:bCs/>
        </w:rPr>
        <w:t>（二）继续强化风险预防治理能力建设</w:t>
      </w:r>
      <w:r>
        <w:tab/>
      </w:r>
      <w:r>
        <w:fldChar w:fldCharType="begin"/>
      </w:r>
      <w:r>
        <w:instrText xml:space="preserve"> PAGEREF _Toc87275329 \h </w:instrText>
      </w:r>
      <w:r>
        <w:fldChar w:fldCharType="separate"/>
      </w:r>
      <w:r>
        <w:t>19</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"_Toc87275330" </w:instrText>
      </w:r>
      <w:r>
        <w:fldChar w:fldCharType="separate"/>
      </w:r>
      <w:r>
        <w:rPr>
          <w:rStyle w:val="42"/>
          <w:rFonts w:ascii="方正仿宋_GBK" w:hAnsi="宋体" w:eastAsia="方正仿宋_GBK"/>
        </w:rPr>
        <w:t>1.</w:t>
      </w:r>
      <w:r>
        <w:rPr>
          <w:rStyle w:val="42"/>
          <w:rFonts w:hint="eastAsia" w:ascii="方正仿宋_GBK" w:hAnsi="宋体" w:eastAsia="方正仿宋_GBK"/>
        </w:rPr>
        <w:t>加强风险监测预警能力</w:t>
      </w:r>
      <w:r>
        <w:tab/>
      </w:r>
      <w:r>
        <w:fldChar w:fldCharType="begin"/>
      </w:r>
      <w:r>
        <w:instrText xml:space="preserve"> PAGEREF _Toc87275330 \h </w:instrText>
      </w:r>
      <w:r>
        <w:fldChar w:fldCharType="separate"/>
      </w:r>
      <w:r>
        <w:t>19</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"_Toc87275331" </w:instrText>
      </w:r>
      <w:r>
        <w:fldChar w:fldCharType="separate"/>
      </w:r>
      <w:r>
        <w:rPr>
          <w:rStyle w:val="42"/>
          <w:rFonts w:ascii="方正仿宋_GBK" w:hAnsi="宋体" w:eastAsia="方正仿宋_GBK"/>
        </w:rPr>
        <w:t>2.</w:t>
      </w:r>
      <w:r>
        <w:rPr>
          <w:rStyle w:val="42"/>
          <w:rFonts w:hint="eastAsia" w:ascii="方正仿宋_GBK" w:hAnsi="宋体" w:eastAsia="方正仿宋_GBK"/>
        </w:rPr>
        <w:t>加强安全生产风险防范能力</w:t>
      </w:r>
      <w:r>
        <w:tab/>
      </w:r>
      <w:r>
        <w:fldChar w:fldCharType="begin"/>
      </w:r>
      <w:r>
        <w:instrText xml:space="preserve"> PAGEREF _Toc87275331 \h </w:instrText>
      </w:r>
      <w:r>
        <w:fldChar w:fldCharType="separate"/>
      </w:r>
      <w:r>
        <w:t>20</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"_Toc87275332" </w:instrText>
      </w:r>
      <w:r>
        <w:fldChar w:fldCharType="separate"/>
      </w:r>
      <w:r>
        <w:rPr>
          <w:rStyle w:val="42"/>
          <w:rFonts w:ascii="方正仿宋_GBK" w:hAnsi="宋体" w:eastAsia="方正仿宋_GBK"/>
        </w:rPr>
        <w:t>3.</w:t>
      </w:r>
      <w:r>
        <w:rPr>
          <w:rStyle w:val="42"/>
          <w:rFonts w:hint="eastAsia" w:ascii="方正仿宋_GBK" w:hAnsi="宋体" w:eastAsia="方正仿宋_GBK"/>
        </w:rPr>
        <w:t>加强自然灾害综合风险防治能力</w:t>
      </w:r>
      <w:r>
        <w:tab/>
      </w:r>
      <w:r>
        <w:fldChar w:fldCharType="begin"/>
      </w:r>
      <w:r>
        <w:instrText xml:space="preserve"> PAGEREF _Toc87275332 \h </w:instrText>
      </w:r>
      <w:r>
        <w:fldChar w:fldCharType="separate"/>
      </w:r>
      <w:r>
        <w:t>25</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"_Toc87275333" </w:instrText>
      </w:r>
      <w:r>
        <w:fldChar w:fldCharType="separate"/>
      </w:r>
      <w:r>
        <w:rPr>
          <w:rStyle w:val="42"/>
          <w:rFonts w:ascii="方正仿宋_GBK" w:hAnsi="宋体" w:eastAsia="方正仿宋_GBK"/>
        </w:rPr>
        <w:t>4.</w:t>
      </w:r>
      <w:r>
        <w:rPr>
          <w:rStyle w:val="42"/>
          <w:rFonts w:hint="eastAsia" w:ascii="方正仿宋_GBK" w:hAnsi="宋体" w:eastAsia="方正仿宋_GBK"/>
        </w:rPr>
        <w:t>推进防灾减灾基础工程建设</w:t>
      </w:r>
      <w:r>
        <w:tab/>
      </w:r>
      <w:r>
        <w:fldChar w:fldCharType="begin"/>
      </w:r>
      <w:r>
        <w:instrText xml:space="preserve"> PAGEREF _Toc87275333 \h </w:instrText>
      </w:r>
      <w:r>
        <w:fldChar w:fldCharType="separate"/>
      </w:r>
      <w:r>
        <w:t>26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"_Toc87275334" </w:instrText>
      </w:r>
      <w:r>
        <w:fldChar w:fldCharType="separate"/>
      </w:r>
      <w:r>
        <w:rPr>
          <w:rStyle w:val="42"/>
          <w:rFonts w:ascii="方正仿宋_GBK" w:hAnsi="宋体" w:eastAsia="方正仿宋_GBK"/>
        </w:rPr>
        <w:t>5.</w:t>
      </w:r>
      <w:r>
        <w:rPr>
          <w:rStyle w:val="42"/>
          <w:rFonts w:hint="eastAsia" w:ascii="方正仿宋_GBK" w:hAnsi="宋体" w:eastAsia="方正仿宋_GBK"/>
        </w:rPr>
        <w:t>加强灾害恢复重建能力</w:t>
      </w:r>
      <w:r>
        <w:tab/>
      </w:r>
      <w:r>
        <w:fldChar w:fldCharType="begin"/>
      </w:r>
      <w:r>
        <w:instrText xml:space="preserve"> PAGEREF _Toc87275334 \h </w:instrText>
      </w:r>
      <w:r>
        <w:fldChar w:fldCharType="separate"/>
      </w:r>
      <w:r>
        <w:t>26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"_Toc87275335" </w:instrText>
      </w:r>
      <w:r>
        <w:fldChar w:fldCharType="separate"/>
      </w:r>
      <w:r>
        <w:rPr>
          <w:rStyle w:val="42"/>
          <w:rFonts w:ascii="方正仿宋_GBK" w:hAnsi="宋体" w:eastAsia="方正仿宋_GBK"/>
        </w:rPr>
        <w:t>6.</w:t>
      </w:r>
      <w:r>
        <w:rPr>
          <w:rStyle w:val="42"/>
          <w:rFonts w:hint="eastAsia" w:ascii="方正仿宋_GBK" w:hAnsi="宋体" w:eastAsia="方正仿宋_GBK"/>
        </w:rPr>
        <w:t>发挥市场机制防灾减灾作用</w:t>
      </w:r>
      <w:r>
        <w:tab/>
      </w:r>
      <w:r>
        <w:fldChar w:fldCharType="begin"/>
      </w:r>
      <w:r>
        <w:instrText xml:space="preserve"> PAGEREF _Toc87275335 \h </w:instrText>
      </w:r>
      <w:r>
        <w:fldChar w:fldCharType="separate"/>
      </w:r>
      <w:r>
        <w:t>27</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"_Toc87275336" </w:instrText>
      </w:r>
      <w:r>
        <w:fldChar w:fldCharType="separate"/>
      </w:r>
      <w:r>
        <w:rPr>
          <w:rStyle w:val="42"/>
          <w:rFonts w:hint="eastAsia" w:ascii="方正楷体_GBK" w:eastAsia="方正楷体_GBK"/>
          <w:bCs/>
        </w:rPr>
        <w:t>（三）提升应急救援队伍能力建设</w:t>
      </w:r>
      <w:r>
        <w:tab/>
      </w:r>
      <w:r>
        <w:fldChar w:fldCharType="begin"/>
      </w:r>
      <w:r>
        <w:instrText xml:space="preserve"> PAGEREF _Toc87275336 \h </w:instrText>
      </w:r>
      <w:r>
        <w:fldChar w:fldCharType="separate"/>
      </w:r>
      <w:r>
        <w:t>27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"_Toc87275337" </w:instrText>
      </w:r>
      <w:r>
        <w:fldChar w:fldCharType="separate"/>
      </w:r>
      <w:r>
        <w:rPr>
          <w:rStyle w:val="42"/>
          <w:rFonts w:ascii="方正仿宋_GBK" w:hAnsi="宋体" w:eastAsia="方正仿宋_GBK"/>
        </w:rPr>
        <w:t>1.</w:t>
      </w:r>
      <w:r>
        <w:rPr>
          <w:rStyle w:val="42"/>
          <w:rFonts w:hint="eastAsia" w:ascii="方正仿宋_GBK" w:hAnsi="宋体" w:eastAsia="方正仿宋_GBK"/>
        </w:rPr>
        <w:t>加强应急救援队伍的统一规划、标准、投入</w:t>
      </w:r>
      <w:r>
        <w:tab/>
      </w:r>
      <w:r>
        <w:fldChar w:fldCharType="begin"/>
      </w:r>
      <w:r>
        <w:instrText xml:space="preserve"> PAGEREF _Toc87275337 \h </w:instrText>
      </w:r>
      <w:r>
        <w:fldChar w:fldCharType="separate"/>
      </w:r>
      <w:r>
        <w:t>27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"_Toc87275338" </w:instrText>
      </w:r>
      <w:r>
        <w:fldChar w:fldCharType="separate"/>
      </w:r>
      <w:r>
        <w:rPr>
          <w:rStyle w:val="42"/>
          <w:rFonts w:ascii="方正仿宋_GBK" w:hAnsi="宋体" w:eastAsia="方正仿宋_GBK"/>
        </w:rPr>
        <w:t>2.</w:t>
      </w:r>
      <w:r>
        <w:rPr>
          <w:rStyle w:val="42"/>
          <w:rFonts w:hint="eastAsia" w:ascii="方正仿宋_GBK" w:hAnsi="宋体" w:eastAsia="方正仿宋_GBK"/>
        </w:rPr>
        <w:t>加强综合性应急救援队伍能力建设</w:t>
      </w:r>
      <w:r>
        <w:tab/>
      </w:r>
      <w:r>
        <w:fldChar w:fldCharType="begin"/>
      </w:r>
      <w:r>
        <w:instrText xml:space="preserve"> PAGEREF _Toc87275338 \h </w:instrText>
      </w:r>
      <w:r>
        <w:fldChar w:fldCharType="separate"/>
      </w:r>
      <w:r>
        <w:t>27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"_Toc87275339" </w:instrText>
      </w:r>
      <w:r>
        <w:fldChar w:fldCharType="separate"/>
      </w:r>
      <w:r>
        <w:rPr>
          <w:rStyle w:val="42"/>
          <w:rFonts w:ascii="方正仿宋_GBK" w:hAnsi="宋体" w:eastAsia="方正仿宋_GBK"/>
        </w:rPr>
        <w:t>3.</w:t>
      </w:r>
      <w:r>
        <w:rPr>
          <w:rStyle w:val="42"/>
          <w:rFonts w:hint="eastAsia" w:ascii="方正仿宋_GBK" w:hAnsi="宋体" w:eastAsia="方正仿宋_GBK"/>
        </w:rPr>
        <w:t>加强专业性应急救援队伍能力建设</w:t>
      </w:r>
      <w:r>
        <w:tab/>
      </w:r>
      <w:r>
        <w:fldChar w:fldCharType="begin"/>
      </w:r>
      <w:r>
        <w:instrText xml:space="preserve"> PAGEREF _Toc87275339 \h </w:instrText>
      </w:r>
      <w:r>
        <w:fldChar w:fldCharType="separate"/>
      </w:r>
      <w:r>
        <w:t>28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"_Toc87275340" </w:instrText>
      </w:r>
      <w:r>
        <w:fldChar w:fldCharType="separate"/>
      </w:r>
      <w:r>
        <w:rPr>
          <w:rStyle w:val="42"/>
          <w:rFonts w:ascii="方正仿宋_GBK" w:hAnsi="宋体" w:eastAsia="方正仿宋_GBK"/>
        </w:rPr>
        <w:t>4.</w:t>
      </w:r>
      <w:r>
        <w:rPr>
          <w:rStyle w:val="42"/>
          <w:rFonts w:hint="eastAsia" w:ascii="方正仿宋_GBK" w:hAnsi="宋体" w:eastAsia="方正仿宋_GBK"/>
        </w:rPr>
        <w:t>加强各领域专家队伍建设</w:t>
      </w:r>
      <w:r>
        <w:tab/>
      </w:r>
      <w:r>
        <w:fldChar w:fldCharType="begin"/>
      </w:r>
      <w:r>
        <w:instrText xml:space="preserve"> PAGEREF _Toc87275340 \h </w:instrText>
      </w:r>
      <w:r>
        <w:fldChar w:fldCharType="separate"/>
      </w:r>
      <w:r>
        <w:t>28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"_Toc87275341" </w:instrText>
      </w:r>
      <w:r>
        <w:fldChar w:fldCharType="separate"/>
      </w:r>
      <w:r>
        <w:rPr>
          <w:rStyle w:val="42"/>
          <w:rFonts w:ascii="方正仿宋_GBK" w:hAnsi="宋体" w:eastAsia="方正仿宋_GBK"/>
        </w:rPr>
        <w:t>5.</w:t>
      </w:r>
      <w:r>
        <w:rPr>
          <w:rStyle w:val="42"/>
          <w:rFonts w:hint="eastAsia" w:ascii="方正仿宋_GBK" w:hAnsi="宋体" w:eastAsia="方正仿宋_GBK"/>
        </w:rPr>
        <w:t>鼓励社会应急救援力量发展</w:t>
      </w:r>
      <w:r>
        <w:tab/>
      </w:r>
      <w:r>
        <w:fldChar w:fldCharType="begin"/>
      </w:r>
      <w:r>
        <w:instrText xml:space="preserve"> PAGEREF _Toc87275341 \h </w:instrText>
      </w:r>
      <w:r>
        <w:fldChar w:fldCharType="separate"/>
      </w:r>
      <w:r>
        <w:t>28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"_Toc87275342" </w:instrText>
      </w:r>
      <w:r>
        <w:fldChar w:fldCharType="separate"/>
      </w:r>
      <w:r>
        <w:rPr>
          <w:rStyle w:val="42"/>
          <w:rFonts w:ascii="方正仿宋_GBK" w:hAnsi="宋体" w:eastAsia="方正仿宋_GBK"/>
        </w:rPr>
        <w:t>6.</w:t>
      </w:r>
      <w:r>
        <w:rPr>
          <w:rStyle w:val="42"/>
          <w:rFonts w:hint="eastAsia" w:ascii="方正仿宋_GBK" w:hAnsi="宋体" w:eastAsia="方正仿宋_GBK"/>
        </w:rPr>
        <w:t>强化基层应急救援队伍建设</w:t>
      </w:r>
      <w:r>
        <w:tab/>
      </w:r>
      <w:r>
        <w:fldChar w:fldCharType="begin"/>
      </w:r>
      <w:r>
        <w:instrText xml:space="preserve"> PAGEREF _Toc87275342 \h </w:instrText>
      </w:r>
      <w:r>
        <w:fldChar w:fldCharType="separate"/>
      </w:r>
      <w:r>
        <w:t>29</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"_Toc87275343" </w:instrText>
      </w:r>
      <w:r>
        <w:fldChar w:fldCharType="separate"/>
      </w:r>
      <w:r>
        <w:rPr>
          <w:rStyle w:val="42"/>
          <w:rFonts w:ascii="方正仿宋_GBK" w:hAnsi="宋体" w:eastAsia="方正仿宋_GBK"/>
        </w:rPr>
        <w:t>7.</w:t>
      </w:r>
      <w:r>
        <w:rPr>
          <w:rStyle w:val="42"/>
          <w:rFonts w:hint="eastAsia" w:ascii="方正仿宋_GBK" w:hAnsi="宋体" w:eastAsia="方正仿宋_GBK"/>
        </w:rPr>
        <w:t>提升应急救援队伍专业水平</w:t>
      </w:r>
      <w:r>
        <w:tab/>
      </w:r>
      <w:r>
        <w:fldChar w:fldCharType="begin"/>
      </w:r>
      <w:r>
        <w:instrText xml:space="preserve"> PAGEREF _Toc87275343 \h </w:instrText>
      </w:r>
      <w:r>
        <w:fldChar w:fldCharType="separate"/>
      </w:r>
      <w:r>
        <w:t>29</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"_Toc87275344" </w:instrText>
      </w:r>
      <w:r>
        <w:fldChar w:fldCharType="separate"/>
      </w:r>
      <w:r>
        <w:rPr>
          <w:rStyle w:val="42"/>
          <w:rFonts w:ascii="方正仿宋_GBK" w:hAnsi="宋体" w:eastAsia="方正仿宋_GBK"/>
        </w:rPr>
        <w:t>8.</w:t>
      </w:r>
      <w:r>
        <w:rPr>
          <w:rStyle w:val="42"/>
          <w:rFonts w:hint="eastAsia" w:ascii="方正仿宋_GBK" w:hAnsi="宋体" w:eastAsia="方正仿宋_GBK"/>
        </w:rPr>
        <w:t>提升应急救援队伍科技水平</w:t>
      </w:r>
      <w:r>
        <w:tab/>
      </w:r>
      <w:r>
        <w:fldChar w:fldCharType="begin"/>
      </w:r>
      <w:r>
        <w:instrText xml:space="preserve"> PAGEREF _Toc87275344 \h </w:instrText>
      </w:r>
      <w:r>
        <w:fldChar w:fldCharType="separate"/>
      </w:r>
      <w:r>
        <w:t>29</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"_Toc87275345" </w:instrText>
      </w:r>
      <w:r>
        <w:fldChar w:fldCharType="separate"/>
      </w:r>
      <w:r>
        <w:rPr>
          <w:rStyle w:val="42"/>
          <w:rFonts w:hint="eastAsia" w:ascii="方正楷体_GBK" w:eastAsia="方正楷体_GBK"/>
          <w:bCs/>
        </w:rPr>
        <w:t>（四）促进应急资源保障能力建设</w:t>
      </w:r>
      <w:r>
        <w:tab/>
      </w:r>
      <w:r>
        <w:fldChar w:fldCharType="begin"/>
      </w:r>
      <w:r>
        <w:instrText xml:space="preserve"> PAGEREF _Toc87275345 \h </w:instrText>
      </w:r>
      <w:r>
        <w:fldChar w:fldCharType="separate"/>
      </w:r>
      <w:r>
        <w:t>29</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"_Toc87275346" </w:instrText>
      </w:r>
      <w:r>
        <w:fldChar w:fldCharType="separate"/>
      </w:r>
      <w:r>
        <w:rPr>
          <w:rStyle w:val="42"/>
          <w:rFonts w:ascii="方正仿宋_GBK" w:hAnsi="宋体" w:eastAsia="方正仿宋_GBK"/>
        </w:rPr>
        <w:t>1.</w:t>
      </w:r>
      <w:r>
        <w:rPr>
          <w:rStyle w:val="42"/>
          <w:rFonts w:hint="eastAsia" w:ascii="方正仿宋_GBK" w:hAnsi="宋体" w:eastAsia="方正仿宋_GBK"/>
        </w:rPr>
        <w:t>完善应急资源管理机制</w:t>
      </w:r>
      <w:r>
        <w:tab/>
      </w:r>
      <w:r>
        <w:fldChar w:fldCharType="begin"/>
      </w:r>
      <w:r>
        <w:instrText xml:space="preserve"> PAGEREF _Toc87275346 \h </w:instrText>
      </w:r>
      <w:r>
        <w:fldChar w:fldCharType="separate"/>
      </w:r>
      <w:r>
        <w:t>30</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"_Toc87275347" </w:instrText>
      </w:r>
      <w:r>
        <w:fldChar w:fldCharType="separate"/>
      </w:r>
      <w:r>
        <w:rPr>
          <w:rStyle w:val="42"/>
          <w:rFonts w:ascii="方正仿宋_GBK" w:hAnsi="宋体" w:eastAsia="方正仿宋_GBK"/>
        </w:rPr>
        <w:t>2.</w:t>
      </w:r>
      <w:r>
        <w:rPr>
          <w:rStyle w:val="42"/>
          <w:rFonts w:hint="eastAsia" w:ascii="方正仿宋_GBK" w:hAnsi="宋体" w:eastAsia="方正仿宋_GBK"/>
        </w:rPr>
        <w:t>强化应急物资保障能力</w:t>
      </w:r>
      <w:r>
        <w:tab/>
      </w:r>
      <w:r>
        <w:fldChar w:fldCharType="begin"/>
      </w:r>
      <w:r>
        <w:instrText xml:space="preserve"> PAGEREF _Toc87275347 \h </w:instrText>
      </w:r>
      <w:r>
        <w:fldChar w:fldCharType="separate"/>
      </w:r>
      <w:r>
        <w:t>30</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"_Toc87275348" </w:instrText>
      </w:r>
      <w:r>
        <w:fldChar w:fldCharType="separate"/>
      </w:r>
      <w:r>
        <w:rPr>
          <w:rStyle w:val="42"/>
          <w:rFonts w:ascii="方正仿宋_GBK" w:hAnsi="宋体" w:eastAsia="方正仿宋_GBK"/>
        </w:rPr>
        <w:t>3.</w:t>
      </w:r>
      <w:r>
        <w:rPr>
          <w:rStyle w:val="42"/>
          <w:rFonts w:hint="eastAsia" w:ascii="方正仿宋_GBK" w:hAnsi="宋体" w:eastAsia="方正仿宋_GBK"/>
        </w:rPr>
        <w:t>强化应急装备保障能力</w:t>
      </w:r>
      <w:r>
        <w:tab/>
      </w:r>
      <w:r>
        <w:fldChar w:fldCharType="begin"/>
      </w:r>
      <w:r>
        <w:instrText xml:space="preserve"> PAGEREF _Toc87275348 \h </w:instrText>
      </w:r>
      <w:r>
        <w:fldChar w:fldCharType="separate"/>
      </w:r>
      <w:r>
        <w:t>31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"_Toc87275349" </w:instrText>
      </w:r>
      <w:r>
        <w:fldChar w:fldCharType="separate"/>
      </w:r>
      <w:r>
        <w:rPr>
          <w:rStyle w:val="42"/>
          <w:rFonts w:ascii="方正仿宋_GBK" w:eastAsia="方正仿宋_GBK"/>
        </w:rPr>
        <w:t>4.</w:t>
      </w:r>
      <w:r>
        <w:rPr>
          <w:rStyle w:val="42"/>
          <w:rFonts w:hint="eastAsia" w:ascii="方正仿宋_GBK" w:eastAsia="方正仿宋_GBK"/>
        </w:rPr>
        <w:t>强化装备物资生产企业管理能力</w:t>
      </w:r>
      <w:r>
        <w:tab/>
      </w:r>
      <w:r>
        <w:fldChar w:fldCharType="begin"/>
      </w:r>
      <w:r>
        <w:instrText xml:space="preserve"> PAGEREF _Toc87275349 \h </w:instrText>
      </w:r>
      <w:r>
        <w:fldChar w:fldCharType="separate"/>
      </w:r>
      <w:r>
        <w:t>31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"_Toc87275350" </w:instrText>
      </w:r>
      <w:r>
        <w:fldChar w:fldCharType="separate"/>
      </w:r>
      <w:r>
        <w:rPr>
          <w:rStyle w:val="42"/>
          <w:rFonts w:ascii="方正仿宋_GBK" w:hAnsi="宋体" w:eastAsia="方正仿宋_GBK"/>
        </w:rPr>
        <w:t>5.</w:t>
      </w:r>
      <w:r>
        <w:rPr>
          <w:rStyle w:val="42"/>
          <w:rFonts w:hint="eastAsia" w:ascii="方正仿宋_GBK" w:hAnsi="宋体" w:eastAsia="方正仿宋_GBK"/>
        </w:rPr>
        <w:t>强化重点应急避难场所保障能力</w:t>
      </w:r>
      <w:r>
        <w:tab/>
      </w:r>
      <w:r>
        <w:fldChar w:fldCharType="begin"/>
      </w:r>
      <w:r>
        <w:instrText xml:space="preserve"> PAGEREF _Toc87275350 \h </w:instrText>
      </w:r>
      <w:r>
        <w:fldChar w:fldCharType="separate"/>
      </w:r>
      <w:r>
        <w:t>31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"_Toc87275351" </w:instrText>
      </w:r>
      <w:r>
        <w:fldChar w:fldCharType="separate"/>
      </w:r>
      <w:r>
        <w:rPr>
          <w:rStyle w:val="42"/>
          <w:rFonts w:ascii="方正仿宋_GBK" w:hAnsi="宋体" w:eastAsia="方正仿宋_GBK"/>
        </w:rPr>
        <w:t>6.</w:t>
      </w:r>
      <w:r>
        <w:rPr>
          <w:rStyle w:val="42"/>
          <w:rFonts w:hint="eastAsia" w:ascii="方正仿宋_GBK" w:hAnsi="宋体" w:eastAsia="方正仿宋_GBK"/>
        </w:rPr>
        <w:t>其他保障能力建设</w:t>
      </w:r>
      <w:r>
        <w:tab/>
      </w:r>
      <w:r>
        <w:fldChar w:fldCharType="begin"/>
      </w:r>
      <w:r>
        <w:instrText xml:space="preserve"> PAGEREF _Toc87275351 \h </w:instrText>
      </w:r>
      <w:r>
        <w:fldChar w:fldCharType="separate"/>
      </w:r>
      <w:r>
        <w:t>31</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"_Toc87275352" </w:instrText>
      </w:r>
      <w:r>
        <w:fldChar w:fldCharType="separate"/>
      </w:r>
      <w:r>
        <w:rPr>
          <w:rStyle w:val="42"/>
          <w:rFonts w:hint="eastAsia" w:ascii="方正楷体_GBK" w:eastAsia="方正楷体_GBK"/>
          <w:bCs/>
        </w:rPr>
        <w:t>（五）加强安全文化教育培训建设</w:t>
      </w:r>
      <w:r>
        <w:tab/>
      </w:r>
      <w:r>
        <w:fldChar w:fldCharType="begin"/>
      </w:r>
      <w:r>
        <w:instrText xml:space="preserve"> PAGEREF _Toc87275352 \h </w:instrText>
      </w:r>
      <w:r>
        <w:fldChar w:fldCharType="separate"/>
      </w:r>
      <w:r>
        <w:t>31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"_Toc87275353" </w:instrText>
      </w:r>
      <w:r>
        <w:fldChar w:fldCharType="separate"/>
      </w:r>
      <w:r>
        <w:rPr>
          <w:rStyle w:val="42"/>
          <w:rFonts w:ascii="方正仿宋_GBK" w:hAnsi="宋体" w:eastAsia="方正仿宋_GBK"/>
        </w:rPr>
        <w:t>1.</w:t>
      </w:r>
      <w:r>
        <w:rPr>
          <w:rStyle w:val="42"/>
          <w:rFonts w:hint="eastAsia" w:ascii="方正仿宋_GBK" w:hAnsi="宋体" w:eastAsia="方正仿宋_GBK"/>
        </w:rPr>
        <w:t>加大安全文化教育培训联合宣传力度</w:t>
      </w:r>
      <w:r>
        <w:tab/>
      </w:r>
      <w:r>
        <w:fldChar w:fldCharType="begin"/>
      </w:r>
      <w:r>
        <w:instrText xml:space="preserve"> PAGEREF _Toc87275353 \h </w:instrText>
      </w:r>
      <w:r>
        <w:fldChar w:fldCharType="separate"/>
      </w:r>
      <w:r>
        <w:t>31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"_Toc87275354" </w:instrText>
      </w:r>
      <w:r>
        <w:fldChar w:fldCharType="separate"/>
      </w:r>
      <w:r>
        <w:rPr>
          <w:rStyle w:val="42"/>
          <w:rFonts w:ascii="方正仿宋_GBK" w:hAnsi="宋体" w:eastAsia="方正仿宋_GBK"/>
        </w:rPr>
        <w:t>2.</w:t>
      </w:r>
      <w:r>
        <w:rPr>
          <w:rStyle w:val="42"/>
          <w:rFonts w:hint="eastAsia" w:ascii="方正仿宋_GBK" w:hAnsi="宋体" w:eastAsia="方正仿宋_GBK"/>
        </w:rPr>
        <w:t>加强企业、社区和群众安全文化意识</w:t>
      </w:r>
      <w:r>
        <w:tab/>
      </w:r>
      <w:r>
        <w:fldChar w:fldCharType="begin"/>
      </w:r>
      <w:r>
        <w:instrText xml:space="preserve"> PAGEREF _Toc87275354 \h </w:instrText>
      </w:r>
      <w:r>
        <w:fldChar w:fldCharType="separate"/>
      </w:r>
      <w:r>
        <w:t>32</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"_Toc87275355" </w:instrText>
      </w:r>
      <w:r>
        <w:fldChar w:fldCharType="separate"/>
      </w:r>
      <w:r>
        <w:rPr>
          <w:rStyle w:val="42"/>
          <w:rFonts w:ascii="方正仿宋_GBK" w:hAnsi="宋体" w:eastAsia="方正仿宋_GBK"/>
        </w:rPr>
        <w:t>3.</w:t>
      </w:r>
      <w:r>
        <w:rPr>
          <w:rStyle w:val="42"/>
          <w:rFonts w:hint="eastAsia" w:ascii="方正仿宋_GBK" w:hAnsi="宋体" w:eastAsia="方正仿宋_GBK"/>
        </w:rPr>
        <w:t>加强安全文化活动宣传及传播手段</w:t>
      </w:r>
      <w:r>
        <w:tab/>
      </w:r>
      <w:r>
        <w:fldChar w:fldCharType="begin"/>
      </w:r>
      <w:r>
        <w:instrText xml:space="preserve"> PAGEREF _Toc87275355 \h </w:instrText>
      </w:r>
      <w:r>
        <w:fldChar w:fldCharType="separate"/>
      </w:r>
      <w:r>
        <w:t>32</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"_Toc87275356" </w:instrText>
      </w:r>
      <w:r>
        <w:fldChar w:fldCharType="separate"/>
      </w:r>
      <w:r>
        <w:rPr>
          <w:rStyle w:val="42"/>
          <w:rFonts w:hint="eastAsia" w:ascii="方正楷体_GBK" w:eastAsia="方正楷体_GBK"/>
          <w:bCs/>
        </w:rPr>
        <w:t>（六）推动应急管理业态创新</w:t>
      </w:r>
      <w:r>
        <w:tab/>
      </w:r>
      <w:r>
        <w:fldChar w:fldCharType="begin"/>
      </w:r>
      <w:r>
        <w:instrText xml:space="preserve"> PAGEREF _Toc87275356 \h </w:instrText>
      </w:r>
      <w:r>
        <w:fldChar w:fldCharType="separate"/>
      </w:r>
      <w:r>
        <w:t>32</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"_Toc87275357" </w:instrText>
      </w:r>
      <w:r>
        <w:fldChar w:fldCharType="separate"/>
      </w:r>
      <w:r>
        <w:rPr>
          <w:rStyle w:val="42"/>
          <w:rFonts w:ascii="方正仿宋_GBK" w:hAnsi="宋体" w:eastAsia="方正仿宋_GBK"/>
        </w:rPr>
        <w:t>1.</w:t>
      </w:r>
      <w:r>
        <w:rPr>
          <w:rStyle w:val="42"/>
          <w:rFonts w:hint="eastAsia" w:ascii="方正仿宋_GBK" w:hAnsi="宋体" w:eastAsia="方正仿宋_GBK"/>
        </w:rPr>
        <w:t>人才创新</w:t>
      </w:r>
      <w:r>
        <w:tab/>
      </w:r>
      <w:r>
        <w:fldChar w:fldCharType="begin"/>
      </w:r>
      <w:r>
        <w:instrText xml:space="preserve"> PAGEREF _Toc87275357 \h </w:instrText>
      </w:r>
      <w:r>
        <w:fldChar w:fldCharType="separate"/>
      </w:r>
      <w:r>
        <w:t>32</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"_Toc87275358" </w:instrText>
      </w:r>
      <w:r>
        <w:fldChar w:fldCharType="separate"/>
      </w:r>
      <w:r>
        <w:rPr>
          <w:rStyle w:val="42"/>
          <w:rFonts w:ascii="方正仿宋_GBK" w:hAnsi="宋体" w:eastAsia="方正仿宋_GBK"/>
        </w:rPr>
        <w:t>2.</w:t>
      </w:r>
      <w:r>
        <w:rPr>
          <w:rStyle w:val="42"/>
          <w:rFonts w:hint="eastAsia" w:ascii="方正仿宋_GBK" w:hAnsi="宋体" w:eastAsia="方正仿宋_GBK"/>
        </w:rPr>
        <w:t>科技创新</w:t>
      </w:r>
      <w:r>
        <w:tab/>
      </w:r>
      <w:r>
        <w:fldChar w:fldCharType="begin"/>
      </w:r>
      <w:r>
        <w:instrText xml:space="preserve"> PAGEREF _Toc87275358 \h </w:instrText>
      </w:r>
      <w:r>
        <w:fldChar w:fldCharType="separate"/>
      </w:r>
      <w:r>
        <w:t>33</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"_Toc87275359" </w:instrText>
      </w:r>
      <w:r>
        <w:fldChar w:fldCharType="separate"/>
      </w:r>
      <w:r>
        <w:rPr>
          <w:rStyle w:val="42"/>
          <w:rFonts w:ascii="方正仿宋_GBK" w:eastAsia="方正仿宋_GBK"/>
        </w:rPr>
        <w:t>3.</w:t>
      </w:r>
      <w:r>
        <w:rPr>
          <w:rStyle w:val="42"/>
          <w:rFonts w:hint="eastAsia" w:ascii="方正仿宋_GBK" w:eastAsia="方正仿宋_GBK"/>
        </w:rPr>
        <w:t>产业创新</w:t>
      </w:r>
      <w:r>
        <w:tab/>
      </w:r>
      <w:r>
        <w:fldChar w:fldCharType="begin"/>
      </w:r>
      <w:r>
        <w:instrText xml:space="preserve"> PAGEREF _Toc87275359 \h </w:instrText>
      </w:r>
      <w:r>
        <w:fldChar w:fldCharType="separate"/>
      </w:r>
      <w:r>
        <w:t>33</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"_Toc87275360" </w:instrText>
      </w:r>
      <w:r>
        <w:fldChar w:fldCharType="separate"/>
      </w:r>
      <w:r>
        <w:rPr>
          <w:rStyle w:val="42"/>
          <w:rFonts w:ascii="方正仿宋_GBK" w:hAnsi="宋体" w:eastAsia="方正仿宋_GBK"/>
        </w:rPr>
        <w:t>4.</w:t>
      </w:r>
      <w:r>
        <w:rPr>
          <w:rStyle w:val="42"/>
          <w:rFonts w:hint="eastAsia" w:ascii="方正仿宋_GBK" w:hAnsi="宋体" w:eastAsia="方正仿宋_GBK"/>
        </w:rPr>
        <w:t>技术创新</w:t>
      </w:r>
      <w:r>
        <w:tab/>
      </w:r>
      <w:r>
        <w:fldChar w:fldCharType="begin"/>
      </w:r>
      <w:r>
        <w:instrText xml:space="preserve"> PAGEREF _Toc87275360 \h </w:instrText>
      </w:r>
      <w:r>
        <w:fldChar w:fldCharType="separate"/>
      </w:r>
      <w:r>
        <w:t>34</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"_Toc87275361" </w:instrText>
      </w:r>
      <w:r>
        <w:fldChar w:fldCharType="separate"/>
      </w:r>
      <w:r>
        <w:rPr>
          <w:rStyle w:val="42"/>
          <w:rFonts w:ascii="方正仿宋_GBK" w:hAnsi="宋体" w:eastAsia="方正仿宋_GBK"/>
        </w:rPr>
        <w:t>5.</w:t>
      </w:r>
      <w:r>
        <w:rPr>
          <w:rStyle w:val="42"/>
          <w:rFonts w:hint="eastAsia" w:ascii="方正仿宋_GBK" w:hAnsi="宋体" w:eastAsia="方正仿宋_GBK"/>
        </w:rPr>
        <w:t>文化创新</w:t>
      </w:r>
      <w:r>
        <w:tab/>
      </w:r>
      <w:r>
        <w:fldChar w:fldCharType="begin"/>
      </w:r>
      <w:r>
        <w:instrText xml:space="preserve"> PAGEREF _Toc87275361 \h </w:instrText>
      </w:r>
      <w:r>
        <w:fldChar w:fldCharType="separate"/>
      </w:r>
      <w:r>
        <w:t>35</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"_Toc87275362" </w:instrText>
      </w:r>
      <w:r>
        <w:fldChar w:fldCharType="separate"/>
      </w:r>
      <w:r>
        <w:rPr>
          <w:rStyle w:val="42"/>
          <w:rFonts w:ascii="方正仿宋_GBK" w:hAnsi="宋体" w:eastAsia="方正仿宋_GBK"/>
        </w:rPr>
        <w:t>6.</w:t>
      </w:r>
      <w:r>
        <w:rPr>
          <w:rStyle w:val="42"/>
          <w:rFonts w:hint="eastAsia" w:ascii="方正仿宋_GBK" w:hAnsi="宋体" w:eastAsia="方正仿宋_GBK"/>
        </w:rPr>
        <w:t>市场创新</w:t>
      </w:r>
      <w:r>
        <w:tab/>
      </w:r>
      <w:r>
        <w:fldChar w:fldCharType="begin"/>
      </w:r>
      <w:r>
        <w:instrText xml:space="preserve"> PAGEREF _Toc87275362 \h </w:instrText>
      </w:r>
      <w:r>
        <w:fldChar w:fldCharType="separate"/>
      </w:r>
      <w:r>
        <w:t>35</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"_Toc87275363" </w:instrText>
      </w:r>
      <w:r>
        <w:fldChar w:fldCharType="separate"/>
      </w:r>
      <w:r>
        <w:rPr>
          <w:rStyle w:val="42"/>
          <w:rFonts w:hint="eastAsia" w:ascii="方正楷体_GBK" w:eastAsia="方正楷体_GBK"/>
          <w:bCs/>
        </w:rPr>
        <w:t>（七）推进应急管理信息化建设</w:t>
      </w:r>
      <w:r>
        <w:tab/>
      </w:r>
      <w:r>
        <w:fldChar w:fldCharType="begin"/>
      </w:r>
      <w:r>
        <w:instrText xml:space="preserve"> PAGEREF _Toc87275363 \h </w:instrText>
      </w:r>
      <w:r>
        <w:fldChar w:fldCharType="separate"/>
      </w:r>
      <w:r>
        <w:t>35</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"_Toc87275364" </w:instrText>
      </w:r>
      <w:r>
        <w:fldChar w:fldCharType="separate"/>
      </w:r>
      <w:r>
        <w:rPr>
          <w:rStyle w:val="42"/>
          <w:rFonts w:ascii="方正仿宋_GBK" w:hAnsi="宋体" w:eastAsia="方正仿宋_GBK"/>
        </w:rPr>
        <w:t>1.</w:t>
      </w:r>
      <w:r>
        <w:rPr>
          <w:rStyle w:val="42"/>
          <w:rFonts w:hint="eastAsia" w:ascii="方正仿宋_GBK" w:hAnsi="宋体" w:eastAsia="方正仿宋_GBK"/>
        </w:rPr>
        <w:t>提升风险监测预警能力建设</w:t>
      </w:r>
      <w:r>
        <w:tab/>
      </w:r>
      <w:r>
        <w:fldChar w:fldCharType="begin"/>
      </w:r>
      <w:r>
        <w:instrText xml:space="preserve"> PAGEREF _Toc87275364 \h </w:instrText>
      </w:r>
      <w:r>
        <w:fldChar w:fldCharType="separate"/>
      </w:r>
      <w:r>
        <w:t>36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"_Toc87275365" </w:instrText>
      </w:r>
      <w:r>
        <w:fldChar w:fldCharType="separate"/>
      </w:r>
      <w:r>
        <w:rPr>
          <w:rStyle w:val="42"/>
          <w:rFonts w:ascii="方正仿宋_GBK" w:hAnsi="宋体" w:eastAsia="方正仿宋_GBK"/>
        </w:rPr>
        <w:t>2.</w:t>
      </w:r>
      <w:r>
        <w:rPr>
          <w:rStyle w:val="42"/>
          <w:rFonts w:hint="eastAsia" w:ascii="方正仿宋_GBK" w:hAnsi="宋体" w:eastAsia="方正仿宋_GBK"/>
        </w:rPr>
        <w:t>提升辅助指挥决策能力建设</w:t>
      </w:r>
      <w:r>
        <w:tab/>
      </w:r>
      <w:r>
        <w:fldChar w:fldCharType="begin"/>
      </w:r>
      <w:r>
        <w:instrText xml:space="preserve"> PAGEREF _Toc87275365 \h </w:instrText>
      </w:r>
      <w:r>
        <w:fldChar w:fldCharType="separate"/>
      </w:r>
      <w:r>
        <w:t>36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"_Toc87275366" </w:instrText>
      </w:r>
      <w:r>
        <w:fldChar w:fldCharType="separate"/>
      </w:r>
      <w:r>
        <w:rPr>
          <w:rStyle w:val="42"/>
          <w:rFonts w:ascii="方正仿宋_GBK" w:hAnsi="宋体" w:eastAsia="方正仿宋_GBK"/>
        </w:rPr>
        <w:t>3.</w:t>
      </w:r>
      <w:r>
        <w:rPr>
          <w:rStyle w:val="42"/>
          <w:rFonts w:hint="eastAsia" w:ascii="方正仿宋_GBK" w:hAnsi="宋体" w:eastAsia="方正仿宋_GBK"/>
        </w:rPr>
        <w:t>提升应急救援实战能力建设</w:t>
      </w:r>
      <w:r>
        <w:tab/>
      </w:r>
      <w:r>
        <w:fldChar w:fldCharType="begin"/>
      </w:r>
      <w:r>
        <w:instrText xml:space="preserve"> PAGEREF _Toc87275366 \h </w:instrText>
      </w:r>
      <w:r>
        <w:fldChar w:fldCharType="separate"/>
      </w:r>
      <w:r>
        <w:t>36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"_Toc87275367" </w:instrText>
      </w:r>
      <w:r>
        <w:fldChar w:fldCharType="separate"/>
      </w:r>
      <w:r>
        <w:rPr>
          <w:rStyle w:val="42"/>
          <w:rFonts w:ascii="方正仿宋_GBK" w:hAnsi="宋体" w:eastAsia="方正仿宋_GBK"/>
        </w:rPr>
        <w:t>4.</w:t>
      </w:r>
      <w:r>
        <w:rPr>
          <w:rStyle w:val="42"/>
          <w:rFonts w:hint="eastAsia" w:ascii="方正仿宋_GBK" w:hAnsi="宋体" w:eastAsia="方正仿宋_GBK"/>
        </w:rPr>
        <w:t>提升应急监管执法能力建设</w:t>
      </w:r>
      <w:r>
        <w:tab/>
      </w:r>
      <w:r>
        <w:fldChar w:fldCharType="begin"/>
      </w:r>
      <w:r>
        <w:instrText xml:space="preserve"> PAGEREF _Toc87275367 \h </w:instrText>
      </w:r>
      <w:r>
        <w:fldChar w:fldCharType="separate"/>
      </w:r>
      <w:r>
        <w:t>36</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"_Toc87275368" </w:instrText>
      </w:r>
      <w:r>
        <w:fldChar w:fldCharType="separate"/>
      </w:r>
      <w:r>
        <w:rPr>
          <w:rStyle w:val="42"/>
          <w:rFonts w:ascii="方正仿宋_GBK" w:hAnsi="宋体" w:eastAsia="方正仿宋_GBK"/>
        </w:rPr>
        <w:t>5.</w:t>
      </w:r>
      <w:r>
        <w:rPr>
          <w:rStyle w:val="42"/>
          <w:rFonts w:hint="eastAsia" w:ascii="方正仿宋_GBK" w:hAnsi="宋体" w:eastAsia="方正仿宋_GBK"/>
        </w:rPr>
        <w:t>加强应急管理智库体系建设</w:t>
      </w:r>
      <w:r>
        <w:tab/>
      </w:r>
      <w:r>
        <w:fldChar w:fldCharType="begin"/>
      </w:r>
      <w:r>
        <w:instrText xml:space="preserve"> PAGEREF _Toc87275368 \h </w:instrText>
      </w:r>
      <w:r>
        <w:fldChar w:fldCharType="separate"/>
      </w:r>
      <w:r>
        <w:t>37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"_Toc87275369" </w:instrText>
      </w:r>
      <w:r>
        <w:fldChar w:fldCharType="separate"/>
      </w:r>
      <w:r>
        <w:rPr>
          <w:rStyle w:val="42"/>
          <w:rFonts w:ascii="方正仿宋_GBK" w:hAnsi="宋体" w:eastAsia="方正仿宋_GBK"/>
        </w:rPr>
        <w:t>6.</w:t>
      </w:r>
      <w:r>
        <w:rPr>
          <w:rStyle w:val="42"/>
          <w:rFonts w:hint="eastAsia" w:ascii="方正仿宋_GBK" w:hAnsi="宋体" w:eastAsia="方正仿宋_GBK"/>
        </w:rPr>
        <w:t>加强基层信息上报渠道多元化建设</w:t>
      </w:r>
      <w:r>
        <w:tab/>
      </w:r>
      <w:r>
        <w:fldChar w:fldCharType="begin"/>
      </w:r>
      <w:r>
        <w:instrText xml:space="preserve"> PAGEREF _Toc87275369 \h </w:instrText>
      </w:r>
      <w:r>
        <w:fldChar w:fldCharType="separate"/>
      </w:r>
      <w:r>
        <w:t>37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"_Toc87275370" </w:instrText>
      </w:r>
      <w:r>
        <w:fldChar w:fldCharType="separate"/>
      </w:r>
      <w:r>
        <w:rPr>
          <w:rStyle w:val="42"/>
          <w:rFonts w:ascii="方正仿宋_GBK" w:hAnsi="宋体" w:eastAsia="方正仿宋_GBK"/>
        </w:rPr>
        <w:t>7.</w:t>
      </w:r>
      <w:r>
        <w:rPr>
          <w:rStyle w:val="42"/>
          <w:rFonts w:hint="eastAsia" w:ascii="方正仿宋_GBK" w:hAnsi="宋体" w:eastAsia="方正仿宋_GBK"/>
        </w:rPr>
        <w:t>完善应急响应及预案数字化体系建设</w:t>
      </w:r>
      <w:r>
        <w:tab/>
      </w:r>
      <w:r>
        <w:fldChar w:fldCharType="begin"/>
      </w:r>
      <w:r>
        <w:instrText xml:space="preserve"> PAGEREF _Toc87275370 \h </w:instrText>
      </w:r>
      <w:r>
        <w:fldChar w:fldCharType="separate"/>
      </w:r>
      <w:r>
        <w:t>37</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"_Toc87275371" </w:instrText>
      </w:r>
      <w:r>
        <w:fldChar w:fldCharType="separate"/>
      </w:r>
      <w:r>
        <w:rPr>
          <w:rStyle w:val="42"/>
          <w:rFonts w:ascii="方正仿宋_GBK" w:hAnsi="宋体" w:eastAsia="方正仿宋_GBK"/>
        </w:rPr>
        <w:t>8.</w:t>
      </w:r>
      <w:r>
        <w:rPr>
          <w:rStyle w:val="42"/>
          <w:rFonts w:hint="eastAsia" w:ascii="方正仿宋_GBK" w:hAnsi="宋体" w:eastAsia="方正仿宋_GBK"/>
        </w:rPr>
        <w:t>健全重大舆情监测研判、预警、发布机制体制建设</w:t>
      </w:r>
      <w:r>
        <w:tab/>
      </w:r>
      <w:r>
        <w:fldChar w:fldCharType="begin"/>
      </w:r>
      <w:r>
        <w:instrText xml:space="preserve"> PAGEREF _Toc87275371 \h </w:instrText>
      </w:r>
      <w:r>
        <w:fldChar w:fldCharType="separate"/>
      </w:r>
      <w:r>
        <w:t>37</w:t>
      </w:r>
      <w:r>
        <w:fldChar w:fldCharType="end"/>
      </w:r>
      <w:r>
        <w:fldChar w:fldCharType="end"/>
      </w:r>
    </w:p>
    <w:p>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"_Toc87275372" </w:instrText>
      </w:r>
      <w:r>
        <w:fldChar w:fldCharType="separate"/>
      </w:r>
      <w:r>
        <w:rPr>
          <w:rStyle w:val="42"/>
          <w:rFonts w:hint="eastAsia" w:ascii="方正黑体_GBK" w:eastAsia="方正黑体_GBK"/>
          <w:kern w:val="44"/>
        </w:rPr>
        <w:t>五、重点工程</w:t>
      </w:r>
      <w:r>
        <w:tab/>
      </w:r>
      <w:r>
        <w:fldChar w:fldCharType="begin"/>
      </w:r>
      <w:r>
        <w:instrText xml:space="preserve"> PAGEREF _Toc87275372 \h </w:instrText>
      </w:r>
      <w:r>
        <w:fldChar w:fldCharType="separate"/>
      </w:r>
      <w:r>
        <w:t>38</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"_Toc87275373" </w:instrText>
      </w:r>
      <w:r>
        <w:fldChar w:fldCharType="separate"/>
      </w:r>
      <w:r>
        <w:rPr>
          <w:rStyle w:val="42"/>
          <w:rFonts w:hint="eastAsia" w:ascii="方正楷体_GBK" w:eastAsia="方正楷体_GBK"/>
          <w:bCs/>
        </w:rPr>
        <w:t>（一）防灾减灾能力提升工程</w:t>
      </w:r>
      <w:r>
        <w:tab/>
      </w:r>
      <w:r>
        <w:fldChar w:fldCharType="begin"/>
      </w:r>
      <w:r>
        <w:instrText xml:space="preserve"> PAGEREF _Toc87275373 \h </w:instrText>
      </w:r>
      <w:r>
        <w:fldChar w:fldCharType="separate"/>
      </w:r>
      <w:r>
        <w:t>38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"_Toc87275374" </w:instrText>
      </w:r>
      <w:r>
        <w:fldChar w:fldCharType="separate"/>
      </w:r>
      <w:r>
        <w:rPr>
          <w:rStyle w:val="42"/>
          <w:rFonts w:ascii="方正仿宋_GBK" w:hAnsi="宋体" w:eastAsia="方正仿宋_GBK"/>
        </w:rPr>
        <w:t>1.</w:t>
      </w:r>
      <w:r>
        <w:rPr>
          <w:rStyle w:val="42"/>
          <w:rFonts w:hint="eastAsia" w:ascii="方正仿宋_GBK" w:hAnsi="宋体" w:eastAsia="方正仿宋_GBK"/>
        </w:rPr>
        <w:t>防灾减灾基础设施保障工程</w:t>
      </w:r>
      <w:r>
        <w:tab/>
      </w:r>
      <w:r>
        <w:fldChar w:fldCharType="begin"/>
      </w:r>
      <w:r>
        <w:instrText xml:space="preserve"> PAGEREF _Toc87275374 \h </w:instrText>
      </w:r>
      <w:r>
        <w:fldChar w:fldCharType="separate"/>
      </w:r>
      <w:r>
        <w:t>38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"_Toc87275375" </w:instrText>
      </w:r>
      <w:r>
        <w:fldChar w:fldCharType="separate"/>
      </w:r>
      <w:r>
        <w:rPr>
          <w:rStyle w:val="42"/>
          <w:rFonts w:ascii="方正仿宋_GBK" w:hAnsi="宋体" w:eastAsia="方正仿宋_GBK"/>
        </w:rPr>
        <w:t>2.</w:t>
      </w:r>
      <w:r>
        <w:rPr>
          <w:rStyle w:val="42"/>
          <w:rFonts w:hint="eastAsia" w:ascii="方正仿宋_GBK" w:hAnsi="宋体" w:eastAsia="方正仿宋_GBK"/>
        </w:rPr>
        <w:t>第一次全国自然灾害综合风险普查</w:t>
      </w:r>
      <w:r>
        <w:tab/>
      </w:r>
      <w:r>
        <w:fldChar w:fldCharType="begin"/>
      </w:r>
      <w:r>
        <w:instrText xml:space="preserve"> PAGEREF _Toc87275375 \h </w:instrText>
      </w:r>
      <w:r>
        <w:fldChar w:fldCharType="separate"/>
      </w:r>
      <w:r>
        <w:t>38</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"_Toc87275376" </w:instrText>
      </w:r>
      <w:r>
        <w:fldChar w:fldCharType="separate"/>
      </w:r>
      <w:r>
        <w:rPr>
          <w:rStyle w:val="42"/>
          <w:rFonts w:ascii="方正仿宋_GBK" w:hAnsi="宋体" w:eastAsia="方正仿宋_GBK"/>
        </w:rPr>
        <w:t>3.</w:t>
      </w:r>
      <w:r>
        <w:rPr>
          <w:rStyle w:val="42"/>
          <w:rFonts w:hint="eastAsia" w:ascii="方正仿宋_GBK" w:hAnsi="宋体" w:eastAsia="方正仿宋_GBK"/>
        </w:rPr>
        <w:t>城市生命线工程监测预警工程</w:t>
      </w:r>
      <w:r>
        <w:tab/>
      </w:r>
      <w:r>
        <w:fldChar w:fldCharType="begin"/>
      </w:r>
      <w:r>
        <w:instrText xml:space="preserve"> PAGEREF _Toc87275376 \h </w:instrText>
      </w:r>
      <w:r>
        <w:fldChar w:fldCharType="separate"/>
      </w:r>
      <w:r>
        <w:t>39</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"_Toc87275377" </w:instrText>
      </w:r>
      <w:r>
        <w:fldChar w:fldCharType="separate"/>
      </w:r>
      <w:r>
        <w:rPr>
          <w:rStyle w:val="42"/>
          <w:rFonts w:ascii="方正仿宋_GBK" w:hAnsi="宋体" w:eastAsia="方正仿宋_GBK"/>
        </w:rPr>
        <w:t>4.</w:t>
      </w:r>
      <w:r>
        <w:rPr>
          <w:rStyle w:val="42"/>
          <w:rFonts w:hint="eastAsia" w:ascii="方正仿宋_GBK" w:hAnsi="宋体" w:eastAsia="方正仿宋_GBK"/>
        </w:rPr>
        <w:t>防灾减灾知识强化建设工程</w:t>
      </w:r>
      <w:r>
        <w:tab/>
      </w:r>
      <w:r>
        <w:fldChar w:fldCharType="begin"/>
      </w:r>
      <w:r>
        <w:instrText xml:space="preserve"> PAGEREF _Toc87275377 \h </w:instrText>
      </w:r>
      <w:r>
        <w:fldChar w:fldCharType="separate"/>
      </w:r>
      <w:r>
        <w:t>39</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"_Toc87275378" </w:instrText>
      </w:r>
      <w:r>
        <w:fldChar w:fldCharType="separate"/>
      </w:r>
      <w:r>
        <w:rPr>
          <w:rStyle w:val="42"/>
          <w:rFonts w:ascii="方正仿宋_GBK" w:hAnsi="宋体" w:eastAsia="方正仿宋_GBK"/>
        </w:rPr>
        <w:t>5.</w:t>
      </w:r>
      <w:r>
        <w:rPr>
          <w:rStyle w:val="42"/>
          <w:rFonts w:hint="eastAsia" w:ascii="方正仿宋_GBK" w:hAnsi="宋体" w:eastAsia="方正仿宋_GBK"/>
        </w:rPr>
        <w:t>安全文化创新基地建设工程</w:t>
      </w:r>
      <w:r>
        <w:tab/>
      </w:r>
      <w:r>
        <w:fldChar w:fldCharType="begin"/>
      </w:r>
      <w:r>
        <w:instrText xml:space="preserve"> PAGEREF _Toc87275378 \h </w:instrText>
      </w:r>
      <w:r>
        <w:fldChar w:fldCharType="separate"/>
      </w:r>
      <w:r>
        <w:t>39</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"_Toc87275379" </w:instrText>
      </w:r>
      <w:r>
        <w:fldChar w:fldCharType="separate"/>
      </w:r>
      <w:r>
        <w:rPr>
          <w:rStyle w:val="42"/>
          <w:rFonts w:hint="eastAsia" w:ascii="方正楷体_GBK" w:eastAsia="方正楷体_GBK"/>
          <w:bCs/>
        </w:rPr>
        <w:t>（二）应急保障能力提升工程</w:t>
      </w:r>
      <w:r>
        <w:tab/>
      </w:r>
      <w:r>
        <w:fldChar w:fldCharType="begin"/>
      </w:r>
      <w:r>
        <w:instrText xml:space="preserve"> PAGEREF _Toc87275379 \h </w:instrText>
      </w:r>
      <w:r>
        <w:fldChar w:fldCharType="separate"/>
      </w:r>
      <w:r>
        <w:t>40</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"_Toc87275380" </w:instrText>
      </w:r>
      <w:r>
        <w:fldChar w:fldCharType="separate"/>
      </w:r>
      <w:r>
        <w:rPr>
          <w:rStyle w:val="42"/>
          <w:rFonts w:ascii="方正仿宋_GBK" w:hAnsi="宋体" w:eastAsia="方正仿宋_GBK"/>
        </w:rPr>
        <w:t>1.</w:t>
      </w:r>
      <w:r>
        <w:rPr>
          <w:rStyle w:val="42"/>
          <w:rFonts w:hint="eastAsia" w:ascii="方正仿宋_GBK" w:hAnsi="宋体" w:eastAsia="方正仿宋_GBK"/>
        </w:rPr>
        <w:t>应急物资及装备保障能力提升工程</w:t>
      </w:r>
      <w:r>
        <w:tab/>
      </w:r>
      <w:r>
        <w:fldChar w:fldCharType="begin"/>
      </w:r>
      <w:r>
        <w:instrText xml:space="preserve"> PAGEREF _Toc87275380 \h </w:instrText>
      </w:r>
      <w:r>
        <w:fldChar w:fldCharType="separate"/>
      </w:r>
      <w:r>
        <w:t>40</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"_Toc87275381" </w:instrText>
      </w:r>
      <w:r>
        <w:fldChar w:fldCharType="separate"/>
      </w:r>
      <w:r>
        <w:rPr>
          <w:rStyle w:val="42"/>
          <w:rFonts w:ascii="方正仿宋_GBK" w:hAnsi="宋体" w:eastAsia="方正仿宋_GBK"/>
        </w:rPr>
        <w:t>2.</w:t>
      </w:r>
      <w:r>
        <w:rPr>
          <w:rStyle w:val="42"/>
          <w:rFonts w:hint="eastAsia" w:ascii="方正仿宋_GBK" w:hAnsi="宋体" w:eastAsia="方正仿宋_GBK"/>
        </w:rPr>
        <w:t>应急救援队伍保障能力提升工程</w:t>
      </w:r>
      <w:r>
        <w:tab/>
      </w:r>
      <w:r>
        <w:fldChar w:fldCharType="begin"/>
      </w:r>
      <w:r>
        <w:instrText xml:space="preserve"> PAGEREF _Toc87275381 \h </w:instrText>
      </w:r>
      <w:r>
        <w:fldChar w:fldCharType="separate"/>
      </w:r>
      <w:r>
        <w:t>40</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"_Toc87275382" </w:instrText>
      </w:r>
      <w:r>
        <w:fldChar w:fldCharType="separate"/>
      </w:r>
      <w:r>
        <w:rPr>
          <w:rStyle w:val="42"/>
          <w:rFonts w:ascii="方正仿宋_GBK" w:hAnsi="宋体" w:eastAsia="方正仿宋_GBK"/>
        </w:rPr>
        <w:t>3.</w:t>
      </w:r>
      <w:r>
        <w:rPr>
          <w:rStyle w:val="42"/>
          <w:rFonts w:hint="eastAsia" w:ascii="方正仿宋_GBK" w:hAnsi="宋体" w:eastAsia="方正仿宋_GBK"/>
        </w:rPr>
        <w:t>执法装备配备保障能力提升工程</w:t>
      </w:r>
      <w:r>
        <w:tab/>
      </w:r>
      <w:r>
        <w:fldChar w:fldCharType="begin"/>
      </w:r>
      <w:r>
        <w:instrText xml:space="preserve"> PAGEREF _Toc87275382 \h </w:instrText>
      </w:r>
      <w:r>
        <w:fldChar w:fldCharType="separate"/>
      </w:r>
      <w:r>
        <w:t>40</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"_Toc87275383" </w:instrText>
      </w:r>
      <w:r>
        <w:fldChar w:fldCharType="separate"/>
      </w:r>
      <w:r>
        <w:rPr>
          <w:rStyle w:val="42"/>
          <w:rFonts w:hint="eastAsia" w:ascii="方正楷体_GBK" w:eastAsia="方正楷体_GBK"/>
          <w:bCs/>
        </w:rPr>
        <w:t>（三）指挥救援能力提升工程</w:t>
      </w:r>
      <w:r>
        <w:tab/>
      </w:r>
      <w:r>
        <w:fldChar w:fldCharType="begin"/>
      </w:r>
      <w:r>
        <w:instrText xml:space="preserve"> PAGEREF _Toc87275383 \h </w:instrText>
      </w:r>
      <w:r>
        <w:fldChar w:fldCharType="separate"/>
      </w:r>
      <w:r>
        <w:t>41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"_Toc87275384" </w:instrText>
      </w:r>
      <w:r>
        <w:fldChar w:fldCharType="separate"/>
      </w:r>
      <w:r>
        <w:rPr>
          <w:rStyle w:val="42"/>
          <w:rFonts w:ascii="方正仿宋_GBK" w:hAnsi="宋体" w:eastAsia="方正仿宋_GBK"/>
        </w:rPr>
        <w:t>1.</w:t>
      </w:r>
      <w:r>
        <w:rPr>
          <w:rStyle w:val="42"/>
          <w:rFonts w:hint="eastAsia" w:ascii="方正仿宋_GBK" w:hAnsi="宋体" w:eastAsia="方正仿宋_GBK"/>
        </w:rPr>
        <w:t>区级高标准应急指挥中心建设工程</w:t>
      </w:r>
      <w:r>
        <w:tab/>
      </w:r>
      <w:r>
        <w:fldChar w:fldCharType="begin"/>
      </w:r>
      <w:r>
        <w:instrText xml:space="preserve"> PAGEREF _Toc87275384 \h </w:instrText>
      </w:r>
      <w:r>
        <w:fldChar w:fldCharType="separate"/>
      </w:r>
      <w:r>
        <w:t>41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"_Toc87275385" </w:instrText>
      </w:r>
      <w:r>
        <w:fldChar w:fldCharType="separate"/>
      </w:r>
      <w:r>
        <w:rPr>
          <w:rStyle w:val="42"/>
          <w:rFonts w:ascii="方正仿宋_GBK" w:eastAsia="方正仿宋_GBK"/>
        </w:rPr>
        <w:t>2.</w:t>
      </w:r>
      <w:r>
        <w:rPr>
          <w:rStyle w:val="42"/>
          <w:rFonts w:hint="eastAsia" w:ascii="方正仿宋_GBK" w:eastAsia="方正仿宋_GBK"/>
        </w:rPr>
        <w:t>基层完备的应急救援能力建设工程</w:t>
      </w:r>
      <w:r>
        <w:tab/>
      </w:r>
      <w:r>
        <w:fldChar w:fldCharType="begin"/>
      </w:r>
      <w:r>
        <w:instrText xml:space="preserve"> PAGEREF _Toc87275385 \h </w:instrText>
      </w:r>
      <w:r>
        <w:fldChar w:fldCharType="separate"/>
      </w:r>
      <w:r>
        <w:t>41</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"_Toc87275386" </w:instrText>
      </w:r>
      <w:r>
        <w:fldChar w:fldCharType="separate"/>
      </w:r>
      <w:r>
        <w:rPr>
          <w:rStyle w:val="42"/>
          <w:rFonts w:ascii="方正仿宋_GBK" w:hAnsi="宋体" w:eastAsia="方正仿宋_GBK"/>
        </w:rPr>
        <w:t>3.</w:t>
      </w:r>
      <w:r>
        <w:rPr>
          <w:rStyle w:val="42"/>
          <w:rFonts w:hint="eastAsia" w:ascii="方正仿宋_GBK" w:hAnsi="宋体" w:eastAsia="方正仿宋_GBK"/>
        </w:rPr>
        <w:t>重特大突发事件应急运输能力提升工程</w:t>
      </w:r>
      <w:r>
        <w:tab/>
      </w:r>
      <w:r>
        <w:fldChar w:fldCharType="begin"/>
      </w:r>
      <w:r>
        <w:instrText xml:space="preserve"> PAGEREF _Toc87275386 \h </w:instrText>
      </w:r>
      <w:r>
        <w:fldChar w:fldCharType="separate"/>
      </w:r>
      <w:r>
        <w:t>41</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"_Toc87275387" </w:instrText>
      </w:r>
      <w:r>
        <w:fldChar w:fldCharType="separate"/>
      </w:r>
      <w:r>
        <w:rPr>
          <w:rStyle w:val="42"/>
          <w:rFonts w:hint="eastAsia" w:ascii="方正楷体_GBK" w:eastAsia="方正楷体_GBK"/>
          <w:bCs/>
        </w:rPr>
        <w:t>（四）智慧应急能力提升工程</w:t>
      </w:r>
      <w:r>
        <w:tab/>
      </w:r>
      <w:r>
        <w:fldChar w:fldCharType="begin"/>
      </w:r>
      <w:r>
        <w:instrText xml:space="preserve"> PAGEREF _Toc87275387 \h </w:instrText>
      </w:r>
      <w:r>
        <w:fldChar w:fldCharType="separate"/>
      </w:r>
      <w:r>
        <w:t>42</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"_Toc87275388" </w:instrText>
      </w:r>
      <w:r>
        <w:fldChar w:fldCharType="separate"/>
      </w:r>
      <w:r>
        <w:rPr>
          <w:rStyle w:val="42"/>
          <w:rFonts w:ascii="方正仿宋_GBK" w:hAnsi="宋体" w:eastAsia="方正仿宋_GBK"/>
        </w:rPr>
        <w:t>1.</w:t>
      </w:r>
      <w:r>
        <w:rPr>
          <w:rStyle w:val="42"/>
          <w:rFonts w:hint="eastAsia" w:ascii="方正仿宋_GBK" w:hAnsi="宋体" w:eastAsia="方正仿宋_GBK"/>
        </w:rPr>
        <w:t>应急感知能力提升工程</w:t>
      </w:r>
      <w:r>
        <w:tab/>
      </w:r>
      <w:r>
        <w:fldChar w:fldCharType="begin"/>
      </w:r>
      <w:r>
        <w:instrText xml:space="preserve"> PAGEREF _Toc87275388 \h </w:instrText>
      </w:r>
      <w:r>
        <w:fldChar w:fldCharType="separate"/>
      </w:r>
      <w:r>
        <w:t>42</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"_Toc87275389" </w:instrText>
      </w:r>
      <w:r>
        <w:fldChar w:fldCharType="separate"/>
      </w:r>
      <w:r>
        <w:rPr>
          <w:rStyle w:val="42"/>
          <w:rFonts w:ascii="方正仿宋_GBK" w:hAnsi="宋体" w:eastAsia="方正仿宋_GBK"/>
        </w:rPr>
        <w:t>2.</w:t>
      </w:r>
      <w:r>
        <w:rPr>
          <w:rStyle w:val="42"/>
          <w:rFonts w:hint="eastAsia" w:ascii="方正仿宋_GBK" w:hAnsi="宋体" w:eastAsia="方正仿宋_GBK"/>
        </w:rPr>
        <w:t>通信保障能力提升工程</w:t>
      </w:r>
      <w:r>
        <w:tab/>
      </w:r>
      <w:r>
        <w:fldChar w:fldCharType="begin"/>
      </w:r>
      <w:r>
        <w:instrText xml:space="preserve"> PAGEREF _Toc87275389 \h </w:instrText>
      </w:r>
      <w:r>
        <w:fldChar w:fldCharType="separate"/>
      </w:r>
      <w:r>
        <w:t>42</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"_Toc87275390" </w:instrText>
      </w:r>
      <w:r>
        <w:fldChar w:fldCharType="separate"/>
      </w:r>
      <w:r>
        <w:rPr>
          <w:rStyle w:val="42"/>
          <w:rFonts w:ascii="方正仿宋_GBK" w:hAnsi="宋体" w:eastAsia="方正仿宋_GBK"/>
        </w:rPr>
        <w:t>3.</w:t>
      </w:r>
      <w:r>
        <w:rPr>
          <w:rStyle w:val="42"/>
          <w:rFonts w:hint="eastAsia" w:ascii="方正仿宋_GBK" w:eastAsia="方正仿宋_GBK"/>
          <w:bCs/>
        </w:rPr>
        <w:t>应急管理数据支撑体系建设。</w:t>
      </w:r>
      <w:r>
        <w:tab/>
      </w:r>
      <w:r>
        <w:fldChar w:fldCharType="begin"/>
      </w:r>
      <w:r>
        <w:instrText xml:space="preserve"> PAGEREF _Toc87275390 \h </w:instrText>
      </w:r>
      <w:r>
        <w:fldChar w:fldCharType="separate"/>
      </w:r>
      <w:r>
        <w:t>43</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"_Toc87275391" </w:instrText>
      </w:r>
      <w:r>
        <w:fldChar w:fldCharType="separate"/>
      </w:r>
      <w:r>
        <w:rPr>
          <w:rStyle w:val="42"/>
          <w:rFonts w:ascii="方正仿宋_GBK" w:eastAsia="方正仿宋_GBK"/>
        </w:rPr>
        <w:t>4.</w:t>
      </w:r>
      <w:r>
        <w:rPr>
          <w:rStyle w:val="42"/>
          <w:rFonts w:hint="eastAsia" w:ascii="方正仿宋_GBK" w:eastAsia="方正仿宋_GBK"/>
        </w:rPr>
        <w:t>应急指挥综合业务平台建设工程</w:t>
      </w:r>
      <w:r>
        <w:tab/>
      </w:r>
      <w:r>
        <w:fldChar w:fldCharType="begin"/>
      </w:r>
      <w:r>
        <w:instrText xml:space="preserve"> PAGEREF _Toc87275391 \h </w:instrText>
      </w:r>
      <w:r>
        <w:fldChar w:fldCharType="separate"/>
      </w:r>
      <w:r>
        <w:t>43</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"_Toc87275392" </w:instrText>
      </w:r>
      <w:r>
        <w:fldChar w:fldCharType="separate"/>
      </w:r>
      <w:r>
        <w:rPr>
          <w:rStyle w:val="42"/>
          <w:rFonts w:ascii="方正仿宋_GBK" w:eastAsia="方正仿宋_GBK"/>
        </w:rPr>
        <w:t>5.</w:t>
      </w:r>
      <w:r>
        <w:rPr>
          <w:rStyle w:val="42"/>
          <w:rFonts w:hint="eastAsia" w:ascii="方正仿宋_GBK" w:eastAsia="方正仿宋_GBK"/>
        </w:rPr>
        <w:t>自然灾害综合风险监测预警系统建设工程</w:t>
      </w:r>
      <w:r>
        <w:tab/>
      </w:r>
      <w:r>
        <w:fldChar w:fldCharType="begin"/>
      </w:r>
      <w:r>
        <w:instrText xml:space="preserve"> PAGEREF _Toc87275392 \h </w:instrText>
      </w:r>
      <w:r>
        <w:fldChar w:fldCharType="separate"/>
      </w:r>
      <w:r>
        <w:t>43</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"_Toc87275393" </w:instrText>
      </w:r>
      <w:r>
        <w:fldChar w:fldCharType="separate"/>
      </w:r>
      <w:r>
        <w:rPr>
          <w:rStyle w:val="42"/>
          <w:rFonts w:ascii="方正仿宋_GBK" w:eastAsia="方正仿宋_GBK"/>
        </w:rPr>
        <w:t>6.</w:t>
      </w:r>
      <w:r>
        <w:rPr>
          <w:rStyle w:val="42"/>
          <w:rFonts w:hint="eastAsia" w:ascii="方正仿宋_GBK" w:eastAsia="方正仿宋_GBK"/>
        </w:rPr>
        <w:t>安全生产监测预警系统建设工程</w:t>
      </w:r>
      <w:r>
        <w:tab/>
      </w:r>
      <w:r>
        <w:fldChar w:fldCharType="begin"/>
      </w:r>
      <w:r>
        <w:instrText xml:space="preserve"> PAGEREF _Toc87275393 \h </w:instrText>
      </w:r>
      <w:r>
        <w:fldChar w:fldCharType="separate"/>
      </w:r>
      <w:r>
        <w:t>44</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"_Toc87275394" </w:instrText>
      </w:r>
      <w:r>
        <w:fldChar w:fldCharType="separate"/>
      </w:r>
      <w:r>
        <w:rPr>
          <w:rStyle w:val="42"/>
          <w:rFonts w:ascii="方正仿宋_GBK" w:eastAsia="方正仿宋_GBK"/>
        </w:rPr>
        <w:t>7.</w:t>
      </w:r>
      <w:r>
        <w:rPr>
          <w:rStyle w:val="42"/>
          <w:rFonts w:hint="eastAsia" w:ascii="方正仿宋_GBK" w:eastAsia="方正仿宋_GBK"/>
        </w:rPr>
        <w:t>智能化应急决策支撑平台建设工程</w:t>
      </w:r>
      <w:r>
        <w:tab/>
      </w:r>
      <w:r>
        <w:fldChar w:fldCharType="begin"/>
      </w:r>
      <w:r>
        <w:instrText xml:space="preserve"> PAGEREF _Toc87275394 \h </w:instrText>
      </w:r>
      <w:r>
        <w:fldChar w:fldCharType="separate"/>
      </w:r>
      <w:r>
        <w:t>44</w:t>
      </w:r>
      <w:r>
        <w:fldChar w:fldCharType="end"/>
      </w:r>
      <w:r>
        <w:fldChar w:fldCharType="end"/>
      </w:r>
    </w:p>
    <w:p>
      <w:pPr>
        <w:pStyle w:val="23"/>
        <w:tabs>
          <w:tab w:val="right" w:leader="dot" w:pos="8290"/>
        </w:tabs>
        <w:spacing w:line="360" w:lineRule="exact"/>
        <w:rPr>
          <w:rFonts w:hAnsiTheme="minorHAnsi" w:eastAsiaTheme="minorEastAsia" w:cstheme="minorBidi"/>
          <w:i w:val="0"/>
          <w:iCs w:val="0"/>
          <w:sz w:val="21"/>
          <w:szCs w:val="22"/>
        </w:rPr>
      </w:pPr>
      <w:r>
        <w:fldChar w:fldCharType="begin"/>
      </w:r>
      <w:r>
        <w:instrText xml:space="preserve"> HYPERLINK \l "_Toc87275395" </w:instrText>
      </w:r>
      <w:r>
        <w:fldChar w:fldCharType="separate"/>
      </w:r>
      <w:r>
        <w:rPr>
          <w:rStyle w:val="42"/>
          <w:rFonts w:ascii="方正仿宋_GBK" w:eastAsia="方正仿宋_GBK"/>
        </w:rPr>
        <w:t>8.</w:t>
      </w:r>
      <w:r>
        <w:rPr>
          <w:rStyle w:val="42"/>
          <w:rFonts w:hint="eastAsia" w:ascii="方正仿宋_GBK" w:eastAsia="方正仿宋_GBK"/>
        </w:rPr>
        <w:t>一体化监管执法系统建设工程</w:t>
      </w:r>
      <w:r>
        <w:tab/>
      </w:r>
      <w:r>
        <w:fldChar w:fldCharType="begin"/>
      </w:r>
      <w:r>
        <w:instrText xml:space="preserve"> PAGEREF _Toc87275395 \h </w:instrText>
      </w:r>
      <w:r>
        <w:fldChar w:fldCharType="separate"/>
      </w:r>
      <w:r>
        <w:t>44</w:t>
      </w:r>
      <w:r>
        <w:fldChar w:fldCharType="end"/>
      </w:r>
      <w:r>
        <w:fldChar w:fldCharType="end"/>
      </w:r>
    </w:p>
    <w:p>
      <w:pPr>
        <w:pStyle w:val="28"/>
        <w:spacing w:line="360" w:lineRule="exact"/>
        <w:rPr>
          <w:rFonts w:hAnsiTheme="minorHAnsi" w:eastAsiaTheme="minorEastAsia" w:cstheme="minorBidi"/>
          <w:b w:val="0"/>
          <w:bCs w:val="0"/>
          <w:caps w:val="0"/>
          <w:sz w:val="21"/>
          <w:szCs w:val="22"/>
        </w:rPr>
      </w:pPr>
      <w:r>
        <w:fldChar w:fldCharType="begin"/>
      </w:r>
      <w:r>
        <w:instrText xml:space="preserve"> HYPERLINK \l "_Toc87275396" </w:instrText>
      </w:r>
      <w:r>
        <w:fldChar w:fldCharType="separate"/>
      </w:r>
      <w:r>
        <w:rPr>
          <w:rStyle w:val="42"/>
          <w:rFonts w:hint="eastAsia" w:ascii="方正黑体_GBK" w:eastAsia="方正黑体_GBK"/>
          <w:kern w:val="44"/>
        </w:rPr>
        <w:t>六、保障措施</w:t>
      </w:r>
      <w:r>
        <w:tab/>
      </w:r>
      <w:r>
        <w:fldChar w:fldCharType="begin"/>
      </w:r>
      <w:r>
        <w:instrText xml:space="preserve"> PAGEREF _Toc87275396 \h </w:instrText>
      </w:r>
      <w:r>
        <w:fldChar w:fldCharType="separate"/>
      </w:r>
      <w:r>
        <w:t>44</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"_Toc87275397" </w:instrText>
      </w:r>
      <w:r>
        <w:fldChar w:fldCharType="separate"/>
      </w:r>
      <w:r>
        <w:rPr>
          <w:rStyle w:val="42"/>
          <w:rFonts w:hint="eastAsia" w:ascii="方正楷体_GBK" w:eastAsia="方正楷体_GBK"/>
          <w:bCs/>
        </w:rPr>
        <w:t>（一）加强领导组织</w:t>
      </w:r>
      <w:r>
        <w:tab/>
      </w:r>
      <w:r>
        <w:fldChar w:fldCharType="begin"/>
      </w:r>
      <w:r>
        <w:instrText xml:space="preserve"> PAGEREF _Toc87275397 \h </w:instrText>
      </w:r>
      <w:r>
        <w:fldChar w:fldCharType="separate"/>
      </w:r>
      <w:r>
        <w:t>44</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"_Toc87275398" </w:instrText>
      </w:r>
      <w:r>
        <w:fldChar w:fldCharType="separate"/>
      </w:r>
      <w:r>
        <w:rPr>
          <w:rStyle w:val="42"/>
          <w:rFonts w:hint="eastAsia" w:ascii="方正楷体_GBK" w:eastAsia="方正楷体_GBK"/>
          <w:bCs/>
        </w:rPr>
        <w:t>（二）加强机制保障</w:t>
      </w:r>
      <w:r>
        <w:tab/>
      </w:r>
      <w:r>
        <w:fldChar w:fldCharType="begin"/>
      </w:r>
      <w:r>
        <w:instrText xml:space="preserve"> PAGEREF _Toc87275398 \h </w:instrText>
      </w:r>
      <w:r>
        <w:fldChar w:fldCharType="separate"/>
      </w:r>
      <w:r>
        <w:t>45</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"_Toc87275399" </w:instrText>
      </w:r>
      <w:r>
        <w:fldChar w:fldCharType="separate"/>
      </w:r>
      <w:r>
        <w:rPr>
          <w:rStyle w:val="42"/>
          <w:rFonts w:hint="eastAsia" w:ascii="方正楷体_GBK" w:eastAsia="方正楷体_GBK"/>
          <w:bCs/>
        </w:rPr>
        <w:t>（三）多元科研汇集</w:t>
      </w:r>
      <w:r>
        <w:tab/>
      </w:r>
      <w:r>
        <w:fldChar w:fldCharType="begin"/>
      </w:r>
      <w:r>
        <w:instrText xml:space="preserve"> PAGEREF _Toc87275399 \h </w:instrText>
      </w:r>
      <w:r>
        <w:fldChar w:fldCharType="separate"/>
      </w:r>
      <w:r>
        <w:t>45</w:t>
      </w:r>
      <w:r>
        <w:fldChar w:fldCharType="end"/>
      </w:r>
      <w:r>
        <w:fldChar w:fldCharType="end"/>
      </w:r>
    </w:p>
    <w:p>
      <w:pPr>
        <w:pStyle w:val="32"/>
        <w:tabs>
          <w:tab w:val="right" w:leader="dot" w:pos="8290"/>
        </w:tabs>
        <w:spacing w:line="360" w:lineRule="exact"/>
        <w:rPr>
          <w:rFonts w:hAnsiTheme="minorHAnsi" w:eastAsiaTheme="minorEastAsia" w:cstheme="minorBidi"/>
          <w:smallCaps w:val="0"/>
          <w:sz w:val="21"/>
          <w:szCs w:val="22"/>
        </w:rPr>
      </w:pPr>
      <w:r>
        <w:fldChar w:fldCharType="begin"/>
      </w:r>
      <w:r>
        <w:instrText xml:space="preserve"> HYPERLINK \l "_Toc87275400" </w:instrText>
      </w:r>
      <w:r>
        <w:fldChar w:fldCharType="separate"/>
      </w:r>
      <w:r>
        <w:rPr>
          <w:rStyle w:val="42"/>
          <w:rFonts w:hint="eastAsia" w:ascii="方正楷体_GBK" w:eastAsia="方正楷体_GBK"/>
          <w:bCs/>
        </w:rPr>
        <w:t>（四）加强经费保障</w:t>
      </w:r>
      <w:r>
        <w:tab/>
      </w:r>
      <w:r>
        <w:fldChar w:fldCharType="begin"/>
      </w:r>
      <w:r>
        <w:instrText xml:space="preserve"> PAGEREF _Toc87275400 \h </w:instrText>
      </w:r>
      <w:r>
        <w:fldChar w:fldCharType="separate"/>
      </w:r>
      <w:r>
        <w:t>46</w:t>
      </w:r>
      <w:r>
        <w:fldChar w:fldCharType="end"/>
      </w:r>
      <w:r>
        <w:fldChar w:fldCharType="end"/>
      </w:r>
    </w:p>
    <w:p>
      <w:pPr>
        <w:pStyle w:val="32"/>
        <w:tabs>
          <w:tab w:val="right" w:leader="dot" w:pos="8290"/>
        </w:tabs>
        <w:spacing w:line="360" w:lineRule="exact"/>
        <w:ind w:firstLine="640"/>
        <w:rPr>
          <w:rFonts w:hAnsiTheme="minorHAnsi" w:eastAsiaTheme="minorEastAsia" w:cstheme="minorBidi"/>
          <w:smallCaps w:val="0"/>
          <w:sz w:val="21"/>
          <w:szCs w:val="22"/>
        </w:rPr>
      </w:pPr>
    </w:p>
    <w:p>
      <w:pPr>
        <w:spacing w:line="360" w:lineRule="exact"/>
        <w:rPr>
          <w:rFonts w:ascii="方正仿宋_GBK" w:hAnsi="仿宋" w:eastAsia="方正仿宋_GBK"/>
          <w:sz w:val="24"/>
          <w:szCs w:val="24"/>
        </w:rPr>
      </w:pPr>
      <w:r>
        <w:rPr>
          <w:rFonts w:ascii="方正仿宋_GBK" w:hAnsi="仿宋" w:eastAsia="方正仿宋_GBK"/>
          <w:sz w:val="24"/>
          <w:szCs w:val="24"/>
        </w:rPr>
        <w:fldChar w:fldCharType="end"/>
      </w:r>
    </w:p>
    <w:p>
      <w:pPr>
        <w:rPr>
          <w:rFonts w:ascii="方正仿宋_GBK" w:eastAsia="方正仿宋_GBK"/>
        </w:rPr>
        <w:sectPr>
          <w:footerReference r:id="rId3" w:type="default"/>
          <w:pgSz w:w="11900" w:h="16840"/>
          <w:pgMar w:top="1440" w:right="1800" w:bottom="1440" w:left="1800" w:header="851" w:footer="992" w:gutter="0"/>
          <w:pgNumType w:fmt="upperRoman" w:start="1"/>
          <w:cols w:space="425" w:num="1"/>
          <w:docGrid w:type="lines" w:linePitch="312" w:charSpace="0"/>
        </w:sectPr>
      </w:pPr>
    </w:p>
    <w:p>
      <w:pPr>
        <w:spacing w:line="600" w:lineRule="exact"/>
        <w:jc w:val="center"/>
        <w:rPr>
          <w:rFonts w:ascii="方正小标宋_GBK" w:eastAsia="方正小标宋_GBK"/>
          <w:sz w:val="48"/>
          <w:szCs w:val="48"/>
        </w:rPr>
      </w:pPr>
      <w:r>
        <w:rPr>
          <w:rFonts w:hint="eastAsia" w:ascii="方正小标宋_GBK" w:eastAsia="方正小标宋_GBK"/>
          <w:sz w:val="48"/>
          <w:szCs w:val="48"/>
        </w:rPr>
        <w:t xml:space="preserve">  重庆两江新区</w:t>
      </w:r>
    </w:p>
    <w:p>
      <w:pPr>
        <w:spacing w:line="600" w:lineRule="exact"/>
        <w:jc w:val="center"/>
        <w:rPr>
          <w:rFonts w:ascii="方正小标宋_GBK" w:eastAsia="方正小标宋_GBK"/>
          <w:sz w:val="48"/>
          <w:szCs w:val="48"/>
        </w:rPr>
      </w:pPr>
      <w:r>
        <w:rPr>
          <w:rFonts w:hint="eastAsia" w:ascii="方正小标宋_GBK" w:eastAsia="方正小标宋_GBK"/>
          <w:sz w:val="48"/>
          <w:szCs w:val="48"/>
        </w:rPr>
        <w:t>“十四五”应急管理专项规划</w:t>
      </w:r>
    </w:p>
    <w:p>
      <w:pPr>
        <w:spacing w:line="600" w:lineRule="exact"/>
        <w:jc w:val="center"/>
        <w:rPr>
          <w:rFonts w:ascii="方正小标宋_GBK" w:eastAsia="方正小标宋_GBK"/>
          <w:sz w:val="48"/>
          <w:szCs w:val="48"/>
        </w:rPr>
      </w:pPr>
      <w:r>
        <w:rPr>
          <w:rFonts w:hint="eastAsia" w:ascii="方正楷体_GBK" w:eastAsia="方正楷体_GBK"/>
          <w:sz w:val="36"/>
          <w:szCs w:val="36"/>
        </w:rPr>
        <w:t xml:space="preserve">  （2021-2025年）</w:t>
      </w:r>
    </w:p>
    <w:p>
      <w:pPr>
        <w:pStyle w:val="20"/>
        <w:spacing w:after="0" w:line="579" w:lineRule="exact"/>
        <w:ind w:firstLine="640" w:firstLineChars="200"/>
        <w:rPr>
          <w:rFonts w:ascii="方正仿宋_GBK" w:eastAsia="方正仿宋_GBK"/>
          <w:szCs w:val="32"/>
        </w:rPr>
      </w:pP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四五”（2021—2025年），是我国由全面建成小康社会向基本实现社会主义现代化迈进的关键时期，也是机构改革之后，全力构建应急能力体系和应急管理体制的关键时期。编制实施好应急管理“十四五”规划，描绘好未来发展蓝图，意义重大。按照《应急管理部关于做好“十四五”应急管理领域专项规划编制工作的通知》（应急函〔2019〕179号）、《关于组织开展全市“十四五”规划编制工作的通知》（渝发改规〔2019〕849号）以及《关于做好应急管理“十四五”规划编制工作的通知》（渝安办〔2019〕81号）要求，编制《重庆两江新区“十四五”应急管理专项规划》，指导我区未来五年应急管理事业健康发展。</w:t>
      </w:r>
    </w:p>
    <w:p>
      <w:pPr>
        <w:pStyle w:val="2"/>
        <w:keepNext/>
        <w:keepLines/>
        <w:spacing w:before="0" w:line="579" w:lineRule="exact"/>
        <w:ind w:left="640" w:leftChars="200"/>
        <w:rPr>
          <w:rFonts w:ascii="方正黑体_GBK" w:hAnsi="Times New Roman" w:eastAsia="方正黑体_GBK"/>
          <w:b w:val="0"/>
          <w:bCs/>
          <w:kern w:val="44"/>
        </w:rPr>
      </w:pPr>
      <w:bookmarkStart w:id="0" w:name="_Toc87275307"/>
      <w:bookmarkStart w:id="1" w:name="_Toc75618144"/>
      <w:bookmarkStart w:id="2" w:name="_Toc9933919"/>
      <w:bookmarkStart w:id="3" w:name="_Toc12200208"/>
      <w:r>
        <w:rPr>
          <w:rFonts w:hint="eastAsia" w:ascii="方正黑体_GBK" w:hAnsi="Times New Roman" w:eastAsia="方正黑体_GBK"/>
          <w:b w:val="0"/>
          <w:bCs/>
          <w:kern w:val="44"/>
        </w:rPr>
        <w:t>一、“十三五”时期建设成效和不足</w:t>
      </w:r>
      <w:bookmarkEnd w:id="0"/>
      <w:bookmarkEnd w:id="1"/>
    </w:p>
    <w:p>
      <w:pPr>
        <w:pStyle w:val="5"/>
        <w:keepNext/>
        <w:keepLines/>
        <w:spacing w:before="0" w:line="579" w:lineRule="exact"/>
        <w:ind w:firstLine="640" w:firstLineChars="200"/>
        <w:rPr>
          <w:rFonts w:ascii="方正楷体_GBK" w:hAnsi="Times New Roman" w:eastAsia="方正楷体_GBK"/>
          <w:b w:val="0"/>
          <w:bCs/>
          <w:sz w:val="32"/>
          <w:szCs w:val="32"/>
        </w:rPr>
      </w:pPr>
      <w:bookmarkStart w:id="4" w:name="_Toc75618145"/>
      <w:bookmarkStart w:id="5" w:name="_Toc87275308"/>
      <w:r>
        <w:rPr>
          <w:rFonts w:hint="eastAsia" w:ascii="方正楷体_GBK" w:hAnsi="Times New Roman" w:eastAsia="方正楷体_GBK"/>
          <w:b w:val="0"/>
          <w:bCs/>
          <w:sz w:val="32"/>
          <w:szCs w:val="32"/>
        </w:rPr>
        <w:t>（一）建设成效</w:t>
      </w:r>
      <w:bookmarkEnd w:id="4"/>
      <w:bookmarkEnd w:id="5"/>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两江新区位于重庆主城都市区中心城区长江以北、嘉陵江以东，包括江北区、北碚区、渝北区</w:t>
      </w:r>
      <w:r>
        <w:rPr>
          <w:rFonts w:ascii="方正仿宋_GBK" w:eastAsia="方正仿宋_GBK"/>
          <w:szCs w:val="32"/>
        </w:rPr>
        <w:t>3个行政区部分区域，全域面积1200平方公里，常住人口270万人，其中直管区面积638平方公里，常住人口80万人。</w:t>
      </w:r>
      <w:r>
        <w:rPr>
          <w:rFonts w:hint="eastAsia" w:ascii="方正仿宋_GBK" w:eastAsia="方正仿宋_GBK"/>
          <w:szCs w:val="32"/>
        </w:rPr>
        <w:t>两江新区正加快打造内陆开放门户、建设重庆智慧之城，加快建设高质量发展引领区、高品质生活示范区，努力成为全面体现新发展理念和重庆发挥“三个作用”的先行示范区。</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1.总体情况</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在两江新区党工委、管委会的正确领导下，我区全面贯彻落实习近平总书记系列重要讲话，特别是视察重庆时的重要讲话精神，深入贯彻“五大发展理念”，紧紧围绕“一带一路”、长江经济带国家战略和重庆区域发展战略，基本实现国家对两江的“五大定位”。机构改</w:t>
      </w:r>
      <w:bookmarkStart w:id="178" w:name="_GoBack"/>
      <w:bookmarkEnd w:id="178"/>
      <w:r>
        <w:rPr>
          <w:rFonts w:hint="eastAsia" w:ascii="方正仿宋_GBK" w:eastAsia="方正仿宋_GBK"/>
          <w:szCs w:val="32"/>
        </w:rPr>
        <w:t>革以来，按照应急管理部、重庆市统一部署，我区“党政同责、一岗双责”和“三个必须”责任制全面落实、安全生产监管体系更加完善、企业安全主体责任不断增强、安全生产基础不断夯实、社区安全整体水平得到有效提升，各项安全工作指标全面完成，安全生产形势稳定好转，全区应急管理工作总体取得重大突破。具体表现在：全区安全生产形势好转，事故控制稳定、三大指标稳步下降（亿元GDP生产安全事故死亡率稳定在0.04以内，工贸企业就业人员十万人生产安全事故死亡率稳定在1.6以内。道路交通万车死亡率稳定在1.5以内）。</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2.应急管理体系建设基本形成</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根据中央统一部署，重庆市对标对表扎实推进应急管理机构改革，按照我市应急管理体系建设统一领导、综合协调、分类管理、分级负责、属地管理为主的原则，在市、区县、街道、社区三级管理体制、四级工作网络基础上，我区全灾种、全过程、全方位的应急管理体系建设基本形成并发挥着重要作用。</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3.安全生产防控形势整体平稳可控</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通过强化规划引领指导、完善源头风险管控、严格安全准入机制、建立事故“双防”机制，安全预防控制体系建设不断完善。具体表现在：（1）各直属企业、各街道、各部门始终坚持“关口前移”的原则，紧盯重点行业、重点企业、重点部位，认真摸排安全生产风险隐患，建立健全风险清单，制定落实管控措施，确保安全生产防治形势总体平稳可控。（2）按照“安全第一、预防为主、综合治理”的安全生产指导方针，安全生产标准化管理和安全生产企业宣教培训工作取得显著成效。（3）深化安全社区建设，社会安全文化氛围不断提升。</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4.安全生产监管及执法能力明显提升</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w:t>
      </w:r>
      <w:bookmarkStart w:id="6" w:name="_Toc364854237"/>
      <w:bookmarkStart w:id="7" w:name="_Toc281038371"/>
      <w:r>
        <w:rPr>
          <w:rFonts w:hint="eastAsia" w:ascii="方正仿宋_GBK" w:eastAsia="方正仿宋_GBK"/>
          <w:szCs w:val="32"/>
        </w:rPr>
        <w:t>通过强化党政领导责任、强化部门监管责任、落实企业主体责任、完善事故责任追究机制和安全监管执法机制、持续开展打非治违专项行动、健全行政执法信息公开机制、强化基层安全监管执法力量，安全生产监管及执法能力明显提升。具体表现在：（1）按照《安全监管职业能力建设标准》等规定，加强街道、直属企业、重点行业部门安全监管力量和技术装备设备建设，安全监管能力不断强化</w:t>
      </w:r>
      <w:bookmarkEnd w:id="6"/>
      <w:bookmarkEnd w:id="7"/>
      <w:r>
        <w:rPr>
          <w:rFonts w:hint="eastAsia" w:ascii="方正仿宋_GBK" w:eastAsia="方正仿宋_GBK"/>
          <w:szCs w:val="32"/>
        </w:rPr>
        <w:t>。（2）定期组织区安委会及减灾委成员单位安全监管干部开展培训工作，安全监管队伍素质显著提升。（3）开展综合安全监管和行业安全监管技术服务外包，安全监管技术支撑体系逐渐形成。（4）推进职业卫生宣传与教育、完善职业卫生管理防治措施、安全生产作业场所职业危害监管水平趋于完善。（5）推动企业安全管理创新、开展安全标准化和“回头看”活动、完善安全监督差异化管理，企业安全生产水平明显提升。</w:t>
      </w:r>
    </w:p>
    <w:p>
      <w:pPr>
        <w:pStyle w:val="20"/>
        <w:spacing w:after="0" w:line="579" w:lineRule="exact"/>
        <w:ind w:firstLine="642" w:firstLineChars="200"/>
        <w:rPr>
          <w:rFonts w:ascii="方正仿宋_GBK" w:eastAsia="方正仿宋_GBK"/>
          <w:b/>
          <w:bCs/>
          <w:szCs w:val="32"/>
        </w:rPr>
      </w:pPr>
      <w:bookmarkStart w:id="8" w:name="_Toc468894032"/>
      <w:r>
        <w:rPr>
          <w:rFonts w:hint="eastAsia" w:ascii="方正仿宋_GBK" w:eastAsia="方正仿宋_GBK"/>
          <w:b/>
          <w:bCs/>
          <w:szCs w:val="32"/>
        </w:rPr>
        <w:t>5.安全生产基础保障能力不断改善</w:t>
      </w:r>
      <w:bookmarkEnd w:id="8"/>
      <w:bookmarkStart w:id="9" w:name="_Toc364854249"/>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通过道路交通、建设施工、消防安全、危险化学品、烟花爆竹、特种设备、市政设施、油气管道、工贸行业、职业卫生、水上交通、校园等行业领域安全基础设施工程建设，安全生产基础保障能力建设不断完善。具体表现在：（1）通过道路交通安全设施提升工程建设，道路行车安全智能设施、人行及隔离护栏等不断完善。（2）通过消防民生实事工程建设，开展市政消火栓规划建设及维护，实施老旧居住建筑和小区消防设施升级改造，完善消防安全重点单位建设“微型消防站”。（3）通过校园安全基础设施提升工程建设，强化校园消防安全设施建设、校车GPS安装及监控上线运行。（4）通过源头风险管控能力提升工程建设，建立城市安全风险分布图，实施安全风险分级管控。</w:t>
      </w:r>
      <w:bookmarkEnd w:id="9"/>
      <w:bookmarkStart w:id="10" w:name="_Toc425839741"/>
      <w:bookmarkStart w:id="11" w:name="_Toc468894033"/>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6.安全惠民</w:t>
      </w:r>
      <w:bookmarkEnd w:id="10"/>
      <w:r>
        <w:rPr>
          <w:rFonts w:hint="eastAsia" w:ascii="方正仿宋_GBK" w:eastAsia="方正仿宋_GBK"/>
          <w:b/>
          <w:bCs/>
          <w:szCs w:val="32"/>
        </w:rPr>
        <w:t>项目</w:t>
      </w:r>
      <w:bookmarkEnd w:id="11"/>
      <w:r>
        <w:rPr>
          <w:rFonts w:hint="eastAsia" w:ascii="方正仿宋_GBK" w:eastAsia="方正仿宋_GBK"/>
          <w:b/>
          <w:bCs/>
          <w:szCs w:val="32"/>
        </w:rPr>
        <w:t>建设全面铺开</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通过积极开展各项安全惠民工程，安全惠民项目建设全面铺开。具体表现在：（1）通过安全社区工程建设，2020年新区8个街道全面建成国家安全社区。（2）通过小微企业安全“托管”助力工程建设，鼓励推广小微企业委托社会专业技术服务机构开展“托管”服务。（3）通过居民综合惠民保险工程建设，为常住人口购买居民火灾惠民保险。（4）通过建筑工人工伤保障工程建设，在建设领域全面实行工伤保险制度。</w:t>
      </w:r>
      <w:bookmarkStart w:id="12" w:name="_Toc364854241"/>
      <w:bookmarkStart w:id="13" w:name="_Toc276500742"/>
      <w:bookmarkStart w:id="14" w:name="_Toc425839739"/>
      <w:bookmarkStart w:id="15" w:name="_Toc281038375"/>
      <w:bookmarkStart w:id="16" w:name="_Toc468894034"/>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7.防灾减灾能力不断加强</w:t>
      </w:r>
    </w:p>
    <w:p>
      <w:pPr>
        <w:pStyle w:val="20"/>
        <w:spacing w:after="0" w:line="579" w:lineRule="exact"/>
        <w:ind w:firstLine="640" w:firstLineChars="200"/>
        <w:rPr>
          <w:rFonts w:ascii="方正仿宋_GBK" w:eastAsia="方正仿宋_GBK"/>
          <w:color w:val="FF0000"/>
          <w:szCs w:val="32"/>
        </w:rPr>
      </w:pPr>
      <w:r>
        <w:rPr>
          <w:rFonts w:hint="eastAsia" w:ascii="方正仿宋_GBK" w:eastAsia="方正仿宋_GBK"/>
          <w:szCs w:val="32"/>
        </w:rPr>
        <w:t>“十三五”期间，根据《重庆市突发事件应对条例》，按照重庆市统一部署，通过各部门紧密配合，防灾减灾工作取得了显著成效。具体表现在：（1）各项防灾减灾规章制度及专项应急预案修订工作不断完善；灾情报送、预警发布机制体制不断健全；风险管理、物资储备、避难场所建设不断加强；社会动员、应急联动能力不断提升。（2）自然灾害监测预警体系建设不断完备，自然灾害防治基础设施工程建设不断夯实，自然灾害应急救助投入不断加强。（3）全面推进防灾减灾人才战略，防灾减灾专业队伍不断壮大，注重发挥专家学者在防灾减灾中的作用，加强对自然灾害发生、发展机理和演变规律的研究，灾害监测预警、风险评估、应急处置等技术水平不断提高。（4）防灾减灾宣传教育工作不断深入，以“国际减灾日”“全国防灾减灾日”为平台，利用多元传播手段，不断强化防灾减灾宣传进家庭、进校园、进社区、进企业，积极开展系列防灾减灾科普宣传教育活动。</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8.应急救援能力</w:t>
      </w:r>
      <w:bookmarkEnd w:id="12"/>
      <w:bookmarkEnd w:id="13"/>
      <w:bookmarkEnd w:id="14"/>
      <w:bookmarkEnd w:id="15"/>
      <w:bookmarkEnd w:id="16"/>
      <w:bookmarkStart w:id="17" w:name="_Toc276500743"/>
      <w:bookmarkStart w:id="18" w:name="_Toc281038376"/>
      <w:bookmarkStart w:id="19" w:name="_Toc364854242"/>
      <w:r>
        <w:rPr>
          <w:rFonts w:hint="eastAsia" w:ascii="方正仿宋_GBK" w:eastAsia="方正仿宋_GBK"/>
          <w:b/>
          <w:bCs/>
          <w:szCs w:val="32"/>
        </w:rPr>
        <w:t>得到有效提升</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“十三五”期间，建设并完善应急救援指挥平台、提升应急预案实施能力、强化应急救援“三支队伍”。具体表现在：（1）通过应急救援指挥</w:t>
      </w:r>
      <w:bookmarkEnd w:id="17"/>
      <w:bookmarkEnd w:id="18"/>
      <w:r>
        <w:rPr>
          <w:rFonts w:hint="eastAsia" w:ascii="方正仿宋_GBK" w:eastAsia="方正仿宋_GBK"/>
          <w:szCs w:val="32"/>
        </w:rPr>
        <w:t>能力</w:t>
      </w:r>
      <w:bookmarkEnd w:id="19"/>
      <w:r>
        <w:rPr>
          <w:rFonts w:hint="eastAsia" w:ascii="方正仿宋_GBK" w:eastAsia="方正仿宋_GBK"/>
          <w:szCs w:val="32"/>
        </w:rPr>
        <w:t>建设，建成两江新区安全生产应急指挥平台，并实施联网运行。（2）通过消防应急处置能力建设，补充配置适应于区域内超高层建筑、大型地下建筑的大功率、高性能消防车辆及灭火装备。（3）通过水上应急救援中心建设，全面建成新区首个水上应急救援中心。（4）通过应急救援队伍建设工程，完善新区、街道两级综合应急救援队伍和消防、危险化学品等专业应急救援队伍，配置配齐必要的装备和物资。</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20" w:name="_Toc75618146"/>
      <w:bookmarkStart w:id="21" w:name="_Toc87275309"/>
      <w:r>
        <w:rPr>
          <w:rFonts w:hint="eastAsia" w:ascii="方正楷体_GBK" w:hAnsi="Times New Roman" w:eastAsia="方正楷体_GBK"/>
          <w:b w:val="0"/>
          <w:bCs/>
          <w:sz w:val="32"/>
          <w:szCs w:val="32"/>
        </w:rPr>
        <w:t>（二）主要不足</w:t>
      </w:r>
      <w:bookmarkEnd w:id="20"/>
      <w:bookmarkEnd w:id="21"/>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1.应急协同联动指挥体系尚未健全</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目前新区应急救援协同联动机制尚未正式建立，安全监管主体责任落实有待进一步细化，应急管理部门跟各安全监管部门之间尚未形成统一有效的信息报送机制，信息流转不畅，横向到边、纵向到底的应急管理体系尚不健全，发生事故时，无法实现统一指挥和协同作战。</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2.安全生产风险隐患依然存在</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基层群租房内普遍存在脏乱差现象，乱拉电线、乱装电器、用电超负荷、缺少消防设施、堵塞消防通道等，极易引发火灾、煤气中毒、触电伤亡等事故。物流企业、建筑及家装等行业监管难度大，一旦出现亡人事故，善后协调处置十分困难。部分安全生产企业安全保障措施不到位，安全主管人员意识薄弱，安全生产主体责任有待进一步细化。安全生产隐患排查力度有待进一步提升。</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3.自然灾害防控能力基础薄弱</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我区自然灾害形式多样，气象灾害、城市内涝、山洪灾害、地质灾害、地震灾害、森林火灾防治任务繁重，防灾减灾基础依然薄弱，尤其是基层（街道）防灾减灾能力弱、监测预警、工程防御、应急装备等综合防灾减灾能力建设存在短板，现有监测预警及救灾救援技术手段相对落后，重救灾、轻防灾减灾的倾向仍然不同程度存在，防灾减灾领域科学研究和技术保障能力不足，跨学科领域的综合研究欠缺，科技投入的系统性、持续性仍需加强，现代化专业监测预警技术应用有待提升，防灾减灾专业应急救援队伍结构需要优化，资源（含信息资源）共享程度不高。</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4.应急救援专业队伍能力建设不足</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我区尚未完全建成专常兼备的应急救援队伍，不足以满足当前日益复杂的突发事件应急救援需求。此外，部分行业安全监管部门和基层（街道）的安全监管力量缺乏，人员多身兼数职且工作任务繁重，流动性较大，缺乏学习培训，专业性水平不高，对安全生产、防灾减灾重要性的认识不足，日常监管和应急救援装备设备配备不齐全。</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5.应急管理智能化信息系统应用程度不高</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应急管理部门现阶段尚未建立完整的应急管理信息化平台，仍然采用短信、微信、电话等非常传统的方式进行日常管理和指挥调度，给日常应急管理工作带来很大阻力且效率低下，面对突发事件也无法快速组织形成有效救援力量和协同联动方案，同时也缺乏快速掌握灾情信息的渠道。</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6.多灾种分析研判能力不足</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新时代应急管理面对的重大安全风险是高度复杂、高度不确定的系统性风险，现有系统多面向单一灾种的监测预警，分析研判智能化程度低，对多灾种及灾害链的分析研判能力不足，无法有效防范各类风险连锁联动。</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7.应急通信水平亟需升级</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现有应急通信系统存在技术和体制落后、通信手段单一等问题，应急通信联动协作能力较差，特别在汛期发生泥石流、滑坡、地震等各类灾情时无法保障有效及时的应急通信，给抢险救灾行动带来巨大的阻力。</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8.资金保障有待进一步加强</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应急管理信息化建设时间久、投入大、收益周期长，需要较多且持续性的资金投入。我区应急管理信息化建设项目和资金保障不足，基本只能满足日常运行维护开支，急需资金投入及保障。</w:t>
      </w:r>
    </w:p>
    <w:p>
      <w:pPr>
        <w:pStyle w:val="2"/>
        <w:keepNext/>
        <w:keepLines/>
        <w:spacing w:before="0" w:line="579" w:lineRule="exact"/>
        <w:ind w:left="640" w:leftChars="200"/>
        <w:rPr>
          <w:rFonts w:ascii="方正黑体_GBK" w:hAnsi="Times New Roman" w:eastAsia="方正黑体_GBK"/>
          <w:b w:val="0"/>
          <w:bCs/>
          <w:kern w:val="44"/>
        </w:rPr>
      </w:pPr>
      <w:bookmarkStart w:id="22" w:name="_Toc87275310"/>
      <w:bookmarkStart w:id="23" w:name="_Toc75618147"/>
      <w:r>
        <w:rPr>
          <w:rFonts w:hint="eastAsia" w:ascii="方正黑体_GBK" w:hAnsi="Times New Roman" w:eastAsia="方正黑体_GBK"/>
          <w:b w:val="0"/>
          <w:bCs/>
          <w:kern w:val="44"/>
        </w:rPr>
        <w:t>二、“十四五”时期面临的机遇和挑战</w:t>
      </w:r>
      <w:bookmarkEnd w:id="22"/>
      <w:bookmarkEnd w:id="23"/>
    </w:p>
    <w:p>
      <w:pPr>
        <w:pStyle w:val="5"/>
        <w:keepNext/>
        <w:keepLines/>
        <w:spacing w:before="0" w:line="579" w:lineRule="exact"/>
        <w:ind w:firstLine="640" w:firstLineChars="200"/>
        <w:rPr>
          <w:rFonts w:ascii="方正楷体_GBK" w:hAnsi="Times New Roman" w:eastAsia="方正楷体_GBK"/>
          <w:b w:val="0"/>
          <w:bCs/>
          <w:sz w:val="32"/>
          <w:szCs w:val="32"/>
        </w:rPr>
      </w:pPr>
      <w:bookmarkStart w:id="24" w:name="_Toc75618148"/>
      <w:bookmarkStart w:id="25" w:name="_Toc87275311"/>
      <w:r>
        <w:rPr>
          <w:rFonts w:hint="eastAsia" w:ascii="方正楷体_GBK" w:hAnsi="Times New Roman" w:eastAsia="方正楷体_GBK"/>
          <w:b w:val="0"/>
          <w:bCs/>
          <w:sz w:val="32"/>
          <w:szCs w:val="32"/>
        </w:rPr>
        <w:t>（一）面临的机遇</w:t>
      </w:r>
      <w:bookmarkEnd w:id="24"/>
      <w:bookmarkEnd w:id="25"/>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“十四五”时期，安全生产、防灾减灾、应急救援工作面临许多有利条件和发展机遇。</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1.党中央、国务院高度重视安全生产、防灾减灾、应急救援工作，并作出了一系列重大决策部署，深入推进安全生产领域改革发展，为安全生产、防灾减灾、应急救援工作提供了强大政策支持。我市加强领导、强化监管，狠抓责任落实，为安全生产、防灾减灾、应急救援工作提供了有力的组织保障。</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2.西部大开发和成渝地区双城经济圈战略深入实施，为打造“开放两江、内陆门户”增添了强大动能。国家数字经济创新发展试验区和新一代人工智能创新发展“双核心区”加速起航，为打造“数字两江、智慧之城”带来历史契机。“一城多园”西部科学城“首园”位置凸显，为打造“智造两江、产业高地”形成核心科技支撑。“双循环”发展格局加快构建，为打造“消费两江、时尚都市”提供强劲市场拉动。</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3.随着社会治理能力不断提高，社会文明素质、安全意识和法治观念加快提升，安全发展的社会环境进一步优化。同时人民群众日益增长的安全需求，以及全社会对安全的高度关注，为推动安全生产、防灾减灾、应急救援工作提供了巨大动能。</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4.经济社会发展提质增效、产业结构优化升级、科技创新快速发展，将加快淘汰落后工艺、技术、装备和产能，自然灾害预警能力提升，“科技强安”战略有利于降低安全风险，提高本质安全水平。</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5.机构改革后，我区应急管理局挂牌成立，在新区党工委管委会的统一领导和市应急管理局的指导下，积极适应新体制新要求，以创新的思路、改革的办法和有力的举措奋力破解难题，努力逐步厘清应急管理横向及纵向各职能部门之间的关系，实现了新时代应急管理工作的良好开局，下一步将逐步构建防灾、减灾、救灾、指挥、救援、监管、执法、保障等职能分工清晰、互为衔接的“大应急”管理格局。</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26" w:name="_Toc75618149"/>
      <w:bookmarkStart w:id="27" w:name="_Toc87275312"/>
      <w:r>
        <w:rPr>
          <w:rFonts w:hint="eastAsia" w:ascii="方正楷体_GBK" w:hAnsi="Times New Roman" w:eastAsia="方正楷体_GBK"/>
          <w:b w:val="0"/>
          <w:bCs/>
          <w:sz w:val="32"/>
          <w:szCs w:val="32"/>
        </w:rPr>
        <w:t>（二）面临的挑战</w:t>
      </w:r>
      <w:bookmarkEnd w:id="26"/>
      <w:bookmarkEnd w:id="27"/>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1.全区面积较广，工商贸、危化、消防、建设施工、市政设施、道路交通、水上交通、水利、森林、地质灾害、特种设备等行业领域的包括火灾、爆炸、中毒、窒息、坍塌、滑坡以及高处坠落、机械伤害等在内的安全风险隐患种类较多，总量较大，安全生产与自然灾害防治工作依然严峻。</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2.我区企业较多，人员密集场所多，道路交通压力大，安全生产、防灾减灾、应急救援基础薄弱。受生产力发展水平、企业本质安全程度、从业人员素质、政府监管体制与机制、自然灾害预警和应急救援能力、社会安全生产意识等多种因素的影响和制约，我区安全生产、防灾减灾、应急救援工作仍存在一定的不足。</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3.安全生产主体责任落实有待进一步细化。经济下行造成企业安全保障条件欠缺，特别是中小企业在追求效益最大化中，安全生产主体责任落实得不够，安全基础工作不扎实、管理不到位，联合监管和执法体系建设不彻底。</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4.防灾减灾体制机制不够完善，自然灾害防御能力有待进一步提升，救灾救助综合协调机制需进一步完善，信息化智能支撑、专业人才保障以及防灾减灾文化宣教需加强。</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5.应急管理智能化水平亟需提升，迫切需要运用云计算、大数据、物联网、区块链、人工智能、5G等新技术，提升我区应急管理现代化能力建设。</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6.随着经济社会发展，城市规模日益扩大，结构日趋复杂，城市建设、轨道交通、燃气管道、排水管网、公租房和安置房、电梯等特种设备安全风险突出，城市安全管理难度增大。自然灾害、事故灾难、公共卫生事件、社会安全事件等突发事件也日益增多，使得我区在“十四五”期间城市公共安全面临愈加严峻的挑战。</w:t>
      </w:r>
    </w:p>
    <w:p>
      <w:pPr>
        <w:pStyle w:val="2"/>
        <w:keepNext/>
        <w:keepLines/>
        <w:spacing w:before="0" w:line="579" w:lineRule="exact"/>
        <w:ind w:left="640" w:leftChars="200"/>
        <w:rPr>
          <w:rFonts w:ascii="方正黑体_GBK" w:hAnsi="Times New Roman" w:eastAsia="方正黑体_GBK"/>
          <w:b w:val="0"/>
          <w:bCs/>
          <w:kern w:val="44"/>
        </w:rPr>
      </w:pPr>
      <w:bookmarkStart w:id="28" w:name="_Toc75618150"/>
      <w:bookmarkStart w:id="29" w:name="_Toc87275313"/>
      <w:r>
        <w:rPr>
          <w:rFonts w:hint="eastAsia" w:ascii="方正黑体_GBK" w:hAnsi="Times New Roman" w:eastAsia="方正黑体_GBK"/>
          <w:b w:val="0"/>
          <w:bCs/>
          <w:kern w:val="44"/>
        </w:rPr>
        <w:t>三、指导思想、基本原则和发展目标</w:t>
      </w:r>
      <w:bookmarkEnd w:id="28"/>
      <w:bookmarkEnd w:id="29"/>
    </w:p>
    <w:p>
      <w:pPr>
        <w:pStyle w:val="5"/>
        <w:keepNext/>
        <w:keepLines/>
        <w:spacing w:before="0" w:line="579" w:lineRule="exact"/>
        <w:ind w:firstLine="640" w:firstLineChars="200"/>
        <w:rPr>
          <w:rFonts w:ascii="方正楷体_GBK" w:hAnsi="Times New Roman" w:eastAsia="方正楷体_GBK"/>
          <w:b w:val="0"/>
          <w:bCs/>
          <w:sz w:val="32"/>
          <w:szCs w:val="32"/>
        </w:rPr>
      </w:pPr>
      <w:bookmarkStart w:id="30" w:name="_Toc12200218"/>
      <w:bookmarkStart w:id="31" w:name="_Toc87275314"/>
      <w:bookmarkStart w:id="32" w:name="_Toc75618151"/>
      <w:bookmarkStart w:id="33" w:name="_Toc9933927"/>
      <w:r>
        <w:rPr>
          <w:rFonts w:hint="eastAsia" w:ascii="方正楷体_GBK" w:hAnsi="Times New Roman" w:eastAsia="方正楷体_GBK"/>
          <w:b w:val="0"/>
          <w:bCs/>
          <w:sz w:val="32"/>
          <w:szCs w:val="32"/>
        </w:rPr>
        <w:t>（一）指导思想</w:t>
      </w:r>
      <w:bookmarkEnd w:id="30"/>
      <w:bookmarkEnd w:id="31"/>
      <w:bookmarkEnd w:id="32"/>
      <w:bookmarkEnd w:id="33"/>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高举中国特色社会主义伟大旗帜，坚持以习近平新时代中国特色社会主义思想为指导，全面贯彻党的十九大和十九届二中、三中、四中、五中、六中全会精神，坚持人民至上、生命至上，全面贯彻落实总体国家安全观，统筹发展和安全，践行安全发展理念。深入落实市委五届十一次全会精神，紧紧围绕</w:t>
      </w:r>
      <w:r>
        <w:rPr>
          <w:rFonts w:eastAsia="方正仿宋_GBK"/>
          <w:bCs/>
          <w:kern w:val="0"/>
          <w:szCs w:val="32"/>
        </w:rPr>
        <w:t>习近平总书记对重庆提出的营造良好政治生态，坚持</w:t>
      </w:r>
      <w:r>
        <w:rPr>
          <w:rFonts w:hint="eastAsia" w:eastAsia="方正仿宋_GBK"/>
          <w:bCs/>
          <w:kern w:val="0"/>
          <w:szCs w:val="32"/>
        </w:rPr>
        <w:t>“</w:t>
      </w:r>
      <w:r>
        <w:rPr>
          <w:rFonts w:eastAsia="方正仿宋_GBK"/>
          <w:bCs/>
          <w:kern w:val="0"/>
          <w:szCs w:val="32"/>
        </w:rPr>
        <w:t>两点</w:t>
      </w:r>
      <w:r>
        <w:rPr>
          <w:rFonts w:hint="eastAsia" w:eastAsia="方正仿宋_GBK"/>
          <w:bCs/>
          <w:kern w:val="0"/>
          <w:szCs w:val="32"/>
        </w:rPr>
        <w:t>”</w:t>
      </w:r>
      <w:r>
        <w:rPr>
          <w:rFonts w:eastAsia="方正仿宋_GBK"/>
          <w:bCs/>
          <w:kern w:val="0"/>
          <w:szCs w:val="32"/>
        </w:rPr>
        <w:t>定位、</w:t>
      </w:r>
      <w:r>
        <w:rPr>
          <w:rFonts w:hint="eastAsia" w:eastAsia="方正仿宋_GBK"/>
          <w:bCs/>
          <w:kern w:val="0"/>
          <w:szCs w:val="32"/>
        </w:rPr>
        <w:t>“</w:t>
      </w:r>
      <w:r>
        <w:rPr>
          <w:rFonts w:eastAsia="方正仿宋_GBK"/>
          <w:bCs/>
          <w:kern w:val="0"/>
          <w:szCs w:val="32"/>
        </w:rPr>
        <w:t>两地</w:t>
      </w:r>
      <w:r>
        <w:rPr>
          <w:rFonts w:hint="eastAsia" w:eastAsia="方正仿宋_GBK"/>
          <w:bCs/>
          <w:kern w:val="0"/>
          <w:szCs w:val="32"/>
        </w:rPr>
        <w:t>”“</w:t>
      </w:r>
      <w:r>
        <w:rPr>
          <w:rFonts w:eastAsia="方正仿宋_GBK"/>
          <w:bCs/>
          <w:kern w:val="0"/>
          <w:szCs w:val="32"/>
        </w:rPr>
        <w:t>两高”目标，发挥</w:t>
      </w:r>
      <w:r>
        <w:rPr>
          <w:rFonts w:hint="eastAsia" w:eastAsia="方正仿宋_GBK"/>
          <w:bCs/>
          <w:kern w:val="0"/>
          <w:szCs w:val="32"/>
        </w:rPr>
        <w:t>“</w:t>
      </w:r>
      <w:r>
        <w:rPr>
          <w:rFonts w:eastAsia="方正仿宋_GBK"/>
          <w:bCs/>
          <w:kern w:val="0"/>
          <w:szCs w:val="32"/>
        </w:rPr>
        <w:t>三个作用</w:t>
      </w:r>
      <w:r>
        <w:rPr>
          <w:rFonts w:hint="eastAsia" w:eastAsia="方正仿宋_GBK"/>
          <w:bCs/>
          <w:kern w:val="0"/>
          <w:szCs w:val="32"/>
        </w:rPr>
        <w:t>”</w:t>
      </w:r>
      <w:r>
        <w:rPr>
          <w:rFonts w:eastAsia="方正仿宋_GBK"/>
          <w:bCs/>
          <w:kern w:val="0"/>
          <w:szCs w:val="32"/>
        </w:rPr>
        <w:t>和推动成渝地区双城经济圈建设等重要指示要求</w:t>
      </w:r>
      <w:r>
        <w:rPr>
          <w:rFonts w:hint="eastAsia" w:ascii="方正仿宋_GBK" w:eastAsia="方正仿宋_GBK"/>
          <w:szCs w:val="32"/>
        </w:rPr>
        <w:t>，统筹推进“五位一体”总体布局，协调推进“四个全面”战略布局。坚持目标导向和问题导向相统一、立足国内和全球视野相统一、全面规划和突出重点相统一、战略性和操作性相统一的原则，聚焦目标研判、聚焦化解风险、聚焦基础建设，凝练提出“十四五时期”应急管理工作的总体思路、目标指标、重点任务和重大战略举措，指导我区未来五年应急管理事业改革发展方向。</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34" w:name="_Toc87275315"/>
      <w:bookmarkStart w:id="35" w:name="_Toc75618152"/>
      <w:r>
        <w:rPr>
          <w:rFonts w:hint="eastAsia" w:ascii="方正楷体_GBK" w:hAnsi="Times New Roman" w:eastAsia="方正楷体_GBK"/>
          <w:b w:val="0"/>
          <w:bCs/>
          <w:sz w:val="32"/>
          <w:szCs w:val="32"/>
        </w:rPr>
        <w:t>（二）基本原则</w:t>
      </w:r>
      <w:bookmarkEnd w:id="34"/>
      <w:bookmarkEnd w:id="35"/>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1</w:t>
      </w:r>
      <w:r>
        <w:rPr>
          <w:rFonts w:ascii="方正仿宋_GBK" w:eastAsia="方正仿宋_GBK"/>
          <w:b/>
          <w:bCs/>
          <w:szCs w:val="32"/>
        </w:rPr>
        <w:t>.</w:t>
      </w:r>
      <w:r>
        <w:rPr>
          <w:rFonts w:hint="eastAsia" w:ascii="方正仿宋_GBK" w:eastAsia="方正仿宋_GBK"/>
          <w:b/>
          <w:bCs/>
          <w:szCs w:val="32"/>
        </w:rPr>
        <w:t>坚持党的领导、坚强有力</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全面加强党对应急管理工作的集中统一领导，充分发挥党总揽全局、协调各方的领导核心作用，把党的政治优势、组织优势和社会主义集中力量办大事的体制优势转化为应急管理事业发展的强大动力和坚强保障。</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2</w:t>
      </w:r>
      <w:r>
        <w:rPr>
          <w:rFonts w:ascii="方正仿宋_GBK" w:eastAsia="方正仿宋_GBK"/>
          <w:b/>
          <w:bCs/>
          <w:szCs w:val="32"/>
        </w:rPr>
        <w:t>.</w:t>
      </w:r>
      <w:r>
        <w:rPr>
          <w:rFonts w:hint="eastAsia" w:ascii="方正仿宋_GBK" w:eastAsia="方正仿宋_GBK"/>
          <w:b/>
          <w:bCs/>
          <w:szCs w:val="32"/>
        </w:rPr>
        <w:t>坚持以人为本、安全发展</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牢固树立以人民为中心的发展思想，坚持“人民至上、生命至上”，坚守生命安全红线，正确处理好安全与发展、安全与效益的关系，最大限度降低各类事故灾害的危害和后果，维护社会稳定。</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3</w:t>
      </w:r>
      <w:r>
        <w:rPr>
          <w:rFonts w:ascii="方正仿宋_GBK" w:eastAsia="方正仿宋_GBK"/>
          <w:b/>
          <w:bCs/>
          <w:szCs w:val="32"/>
        </w:rPr>
        <w:t>.</w:t>
      </w:r>
      <w:r>
        <w:rPr>
          <w:rFonts w:hint="eastAsia" w:ascii="方正仿宋_GBK" w:eastAsia="方正仿宋_GBK"/>
          <w:b/>
          <w:bCs/>
          <w:szCs w:val="32"/>
        </w:rPr>
        <w:t>坚持预防为主、源头防范</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坚持“安全第一、预防为主、综合治理”的安全生产工作方针，坚持防抗救相结合，强化源头管控，把问题解决在萌芽之时、成灾之前，推进应急管理工作重心从注重灾后救助向注重灾前预防转变、从应对单一灾种向综合减灾转变、从减少灾害损失向减轻灾害风险转变。</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4</w:t>
      </w:r>
      <w:r>
        <w:rPr>
          <w:rFonts w:ascii="方正仿宋_GBK" w:eastAsia="方正仿宋_GBK"/>
          <w:b/>
          <w:bCs/>
          <w:szCs w:val="32"/>
        </w:rPr>
        <w:t>.</w:t>
      </w:r>
      <w:r>
        <w:rPr>
          <w:rFonts w:hint="eastAsia" w:ascii="方正仿宋_GBK" w:eastAsia="方正仿宋_GBK"/>
          <w:b/>
          <w:bCs/>
          <w:szCs w:val="32"/>
        </w:rPr>
        <w:t>坚持依法管理、精准治理</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运用法治思维和法治方式，完善应急管理领域法规和标准体系，全面提高依法防控、依法治理水平。创新科技手段和方法，加强事故灾害全过程精准防控，实现精准预警发布、精准抢险救援、精准恢复重建、精准监管执法。</w:t>
      </w:r>
    </w:p>
    <w:p>
      <w:pPr>
        <w:pStyle w:val="20"/>
        <w:spacing w:after="0" w:line="579" w:lineRule="exact"/>
        <w:ind w:firstLine="642" w:firstLineChars="200"/>
        <w:rPr>
          <w:rFonts w:ascii="方正仿宋_GBK" w:eastAsia="方正仿宋_GBK"/>
          <w:b/>
          <w:bCs/>
          <w:szCs w:val="32"/>
        </w:rPr>
      </w:pPr>
      <w:r>
        <w:rPr>
          <w:rFonts w:hint="eastAsia" w:ascii="方正仿宋_GBK" w:eastAsia="方正仿宋_GBK"/>
          <w:b/>
          <w:bCs/>
          <w:szCs w:val="32"/>
        </w:rPr>
        <w:t>5</w:t>
      </w:r>
      <w:r>
        <w:rPr>
          <w:rFonts w:ascii="方正仿宋_GBK" w:eastAsia="方正仿宋_GBK"/>
          <w:b/>
          <w:bCs/>
          <w:szCs w:val="32"/>
        </w:rPr>
        <w:t>.</w:t>
      </w:r>
      <w:r>
        <w:rPr>
          <w:rFonts w:hint="eastAsia" w:ascii="方正仿宋_GBK" w:eastAsia="方正仿宋_GBK"/>
          <w:b/>
          <w:bCs/>
          <w:szCs w:val="32"/>
        </w:rPr>
        <w:t>坚持全员参与、社会共治</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落实党委政府、监管部门、企业主体、行业自律、社会监督等各方责任，确保责任链条无缝对接，形成整体合力。注重发挥市场机制作用，强化社会参与，组织和引导社会各方力量参与安全生产和防灾减灾救灾工作，提升社会公众自救互救意识和能力，筑牢防灾减灾救灾的人民防线。</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36" w:name="_Toc87275316"/>
      <w:bookmarkStart w:id="37" w:name="_Toc75618153"/>
      <w:r>
        <w:rPr>
          <w:rFonts w:hint="eastAsia" w:ascii="方正楷体_GBK" w:hAnsi="Times New Roman" w:eastAsia="方正楷体_GBK"/>
          <w:b w:val="0"/>
          <w:bCs/>
          <w:sz w:val="32"/>
          <w:szCs w:val="32"/>
        </w:rPr>
        <w:t>（三）发展目标</w:t>
      </w:r>
      <w:bookmarkEnd w:id="36"/>
      <w:bookmarkEnd w:id="37"/>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贯彻落实习近平总书记在中央政治局第十九次集体学习时的重要讲话精神，充分发挥两江新区应急管理体系特色和优势，积极推进我区应急管理体系和能力现代化。严格对标应急管理部《应急管理信息化发展战略规划框架（2018-2022年）》，按照《应急管理部关于做好“十四五”应急管理领域专项规划编制工作的通知》（应急函〔2019〕179号）、《关于组织开展全市“十四五”规划编制工作的通知》（渝发改规〔2019〕849号）要求，明确并落实“十四五”期间应急管理专项重点项目建设，以全面增强综合防灾减灾能力为总目标，以防范安全生产、自然灾害类突发事件为重点，以人才为依托、以科技为手段，综合运用云计算、大数据、人工智能、物联网、5G、区块链等信息技术，结合我区特点，全面建设应急管理组织体系和智能支撑体系，形成全区应急管理“一盘棋”的格局。</w:t>
      </w:r>
    </w:p>
    <w:p>
      <w:pPr>
        <w:pStyle w:val="20"/>
        <w:spacing w:after="0" w:line="579" w:lineRule="exact"/>
        <w:ind w:firstLine="642" w:firstLineChars="200"/>
        <w:rPr>
          <w:rFonts w:ascii="方正仿宋_GBK" w:eastAsia="方正仿宋_GBK"/>
          <w:b/>
          <w:szCs w:val="32"/>
        </w:rPr>
      </w:pPr>
      <w:r>
        <w:rPr>
          <w:rFonts w:hint="eastAsia" w:ascii="方正仿宋_GBK" w:eastAsia="方正仿宋_GBK"/>
          <w:b/>
          <w:szCs w:val="32"/>
        </w:rPr>
        <w:t>1</w:t>
      </w:r>
      <w:r>
        <w:rPr>
          <w:rFonts w:ascii="方正仿宋_GBK" w:eastAsia="方正仿宋_GBK"/>
          <w:b/>
          <w:szCs w:val="32"/>
        </w:rPr>
        <w:t>.</w:t>
      </w:r>
      <w:r>
        <w:rPr>
          <w:rFonts w:hint="eastAsia" w:ascii="方正仿宋_GBK" w:eastAsia="方正仿宋_GBK"/>
          <w:b/>
          <w:szCs w:val="32"/>
        </w:rPr>
        <w:t>总体目标</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到2</w:t>
      </w:r>
      <w:r>
        <w:rPr>
          <w:rFonts w:ascii="方正仿宋_GBK" w:eastAsia="方正仿宋_GBK"/>
          <w:szCs w:val="32"/>
        </w:rPr>
        <w:t>025</w:t>
      </w:r>
      <w:r>
        <w:rPr>
          <w:rFonts w:hint="eastAsia" w:ascii="方正仿宋_GBK" w:eastAsia="方正仿宋_GBK"/>
          <w:szCs w:val="32"/>
        </w:rPr>
        <w:t>年两江新区应急管理体系与能力现代化建设</w:t>
      </w:r>
      <w:r>
        <w:rPr>
          <w:rFonts w:ascii="方正仿宋_GBK" w:eastAsia="方正仿宋_GBK"/>
          <w:szCs w:val="32"/>
        </w:rPr>
        <w:t>实现</w:t>
      </w:r>
      <w:r>
        <w:rPr>
          <w:rFonts w:hint="eastAsia" w:ascii="方正仿宋_GBK" w:eastAsia="方正仿宋_GBK"/>
          <w:szCs w:val="32"/>
        </w:rPr>
        <w:t>与</w:t>
      </w:r>
      <w:r>
        <w:rPr>
          <w:rFonts w:ascii="方正仿宋_GBK" w:eastAsia="方正仿宋_GBK"/>
          <w:szCs w:val="32"/>
        </w:rPr>
        <w:t>新一代信息技术与应急管理业务深度融合，基本建成</w:t>
      </w:r>
      <w:r>
        <w:rPr>
          <w:rFonts w:hint="eastAsia" w:ascii="方正仿宋_GBK" w:eastAsia="方正仿宋_GBK"/>
          <w:szCs w:val="32"/>
        </w:rPr>
        <w:t>“</w:t>
      </w:r>
      <w:r>
        <w:rPr>
          <w:rFonts w:ascii="方正仿宋_GBK" w:eastAsia="方正仿宋_GBK"/>
          <w:szCs w:val="32"/>
        </w:rPr>
        <w:t>智慧应急</w:t>
      </w:r>
      <w:r>
        <w:rPr>
          <w:rFonts w:hint="eastAsia" w:ascii="方正仿宋_GBK" w:eastAsia="方正仿宋_GBK"/>
          <w:szCs w:val="32"/>
        </w:rPr>
        <w:t>”</w:t>
      </w:r>
      <w:r>
        <w:rPr>
          <w:rFonts w:ascii="方正仿宋_GBK" w:eastAsia="方正仿宋_GBK"/>
          <w:szCs w:val="32"/>
        </w:rPr>
        <w:t>信息化体系</w:t>
      </w:r>
      <w:r>
        <w:rPr>
          <w:rFonts w:hint="eastAsia" w:ascii="方正仿宋_GBK" w:eastAsia="方正仿宋_GBK"/>
          <w:szCs w:val="32"/>
        </w:rPr>
        <w:t>。风险防控、基层基础、应急救援、综合保障、社会协同能力明显增强，安全生产整体水平、防灾减灾救灾能力显著增强，重特大生产安全事故得到有效遏制，有序有效应对各类事故灾害，人民群众生命和财产安全得到有力保障，为两江新区经济社会持续健康发展提供有力支撑，将两江新区建设成为具有重要影响力的安全发展典范城市，全面实现城市安全治理体系和能力现代化。</w:t>
      </w:r>
    </w:p>
    <w:p>
      <w:pPr>
        <w:pStyle w:val="20"/>
        <w:spacing w:after="0" w:line="579" w:lineRule="exact"/>
        <w:ind w:firstLine="642" w:firstLineChars="200"/>
        <w:rPr>
          <w:rFonts w:ascii="方正仿宋_GBK" w:eastAsia="方正仿宋_GBK"/>
          <w:b/>
          <w:szCs w:val="32"/>
        </w:rPr>
      </w:pPr>
      <w:r>
        <w:rPr>
          <w:rFonts w:hint="eastAsia" w:ascii="方正仿宋_GBK" w:eastAsia="方正仿宋_GBK"/>
          <w:b/>
          <w:szCs w:val="32"/>
        </w:rPr>
        <w:t>2</w:t>
      </w:r>
      <w:r>
        <w:rPr>
          <w:rFonts w:ascii="方正仿宋_GBK" w:eastAsia="方正仿宋_GBK"/>
          <w:b/>
          <w:szCs w:val="32"/>
        </w:rPr>
        <w:t>.</w:t>
      </w:r>
      <w:r>
        <w:rPr>
          <w:rFonts w:hint="eastAsia" w:ascii="方正仿宋_GBK" w:eastAsia="方正仿宋_GBK"/>
          <w:b/>
          <w:szCs w:val="32"/>
        </w:rPr>
        <w:t>分项目标</w:t>
      </w:r>
    </w:p>
    <w:p>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应急管理体制机制明晰高效。应急管理领导体制、工作机制、职能划分、机构设置更加科学合理，应急管理机构基础设施、装备条件大幅改善，履职能力全面提升，法治化、专业化、规范化、现代化建设取得重大进展。应急管理法制体系更加健全。区本级综合行政执法装备达标率80%，基层综合行政执法装备达标率100%。</w:t>
      </w:r>
    </w:p>
    <w:p>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——事故灾害防控能力显著提升。健全重大安全风险防控体系，重特大生产安全事故得到有效遏制，防灾减灾和监测预警能力明显增强，自然灾害造成的损失持续下降。灾害预警信息公众覆盖率达9</w:t>
      </w:r>
      <w:r>
        <w:rPr>
          <w:rFonts w:ascii="方正仿宋_GBK" w:eastAsia="方正仿宋_GBK"/>
          <w:bCs/>
          <w:szCs w:val="32"/>
        </w:rPr>
        <w:t>0</w:t>
      </w:r>
      <w:r>
        <w:rPr>
          <w:rFonts w:hint="eastAsia" w:ascii="方正仿宋_GBK" w:eastAsia="方正仿宋_GBK"/>
          <w:bCs/>
          <w:szCs w:val="32"/>
        </w:rPr>
        <w:t>%以上。</w:t>
      </w:r>
    </w:p>
    <w:p>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事故灾害应急能力明显增强。综合应急救援队伍能力显著提升、专业应急救援队伍体系更加完善、航空应急救援体系基本形成、社会应急力量健康有序发展。应急指挥、应急通信、应急物资、紧急运输等保障能力全面加强。</w:t>
      </w:r>
      <w:r>
        <w:rPr>
          <w:rFonts w:ascii="方正仿宋_GBK" w:eastAsia="方正仿宋_GBK"/>
          <w:bCs/>
          <w:szCs w:val="32"/>
        </w:rPr>
        <w:t>到2025年</w:t>
      </w:r>
      <w:r>
        <w:rPr>
          <w:rFonts w:hint="eastAsia" w:ascii="方正仿宋_GBK" w:eastAsia="方正仿宋_GBK"/>
          <w:bCs/>
          <w:szCs w:val="32"/>
        </w:rPr>
        <w:t>，按照市级统一部署，我区</w:t>
      </w:r>
      <w:r>
        <w:rPr>
          <w:rFonts w:ascii="方正仿宋_GBK" w:eastAsia="方正仿宋_GBK"/>
          <w:bCs/>
          <w:szCs w:val="32"/>
        </w:rPr>
        <w:t>综合应急救援队伍建成率达100%</w:t>
      </w:r>
      <w:r>
        <w:rPr>
          <w:rFonts w:hint="eastAsia" w:ascii="方正仿宋_GBK" w:eastAsia="方正仿宋_GBK"/>
          <w:bCs/>
          <w:szCs w:val="32"/>
        </w:rPr>
        <w:t>，</w:t>
      </w:r>
      <w:r>
        <w:rPr>
          <w:rFonts w:ascii="方正仿宋_GBK" w:eastAsia="方正仿宋_GBK"/>
          <w:bCs/>
          <w:szCs w:val="32"/>
        </w:rPr>
        <w:t>社区应急救援站（微型消防站）建成率达100%</w:t>
      </w:r>
      <w:r>
        <w:rPr>
          <w:rFonts w:hint="eastAsia" w:ascii="方正仿宋_GBK" w:eastAsia="方正仿宋_GBK"/>
          <w:bCs/>
          <w:szCs w:val="32"/>
        </w:rPr>
        <w:t>。</w:t>
      </w:r>
    </w:p>
    <w:p>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应急资源要素配置更加合理。科技支撑、人才保障、信息技术、产业资源更加有力，应急管理科技创新理论研究取得新突破，结构合理、素质优良的人才队伍初现规模，应急管理信息化水平明显提高。具有应急管理相关学历、职业资格和实践经验的执法人员不低于在职执法人员的</w:t>
      </w:r>
      <w:r>
        <w:rPr>
          <w:rFonts w:ascii="方正仿宋_GBK" w:eastAsia="方正仿宋_GBK"/>
          <w:bCs/>
          <w:szCs w:val="32"/>
        </w:rPr>
        <w:t>7</w:t>
      </w:r>
      <w:r>
        <w:rPr>
          <w:rFonts w:hint="eastAsia" w:ascii="方正仿宋_GBK" w:eastAsia="方正仿宋_GBK"/>
          <w:bCs/>
          <w:szCs w:val="32"/>
        </w:rPr>
        <w:t>5%。</w:t>
      </w:r>
    </w:p>
    <w:p>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——社会共治共建格局基本形成。公众安全意识和自救互救能力明显提升，市场机制作用有效发挥，应急管理共建共治共享格局基本形成。</w:t>
      </w:r>
      <w:r>
        <w:rPr>
          <w:rFonts w:ascii="方正仿宋_GBK" w:eastAsia="方正仿宋_GBK"/>
          <w:bCs/>
          <w:szCs w:val="32"/>
        </w:rPr>
        <w:t>社会动员统一有序</w:t>
      </w:r>
      <w:r>
        <w:rPr>
          <w:rFonts w:hint="eastAsia" w:ascii="方正仿宋_GBK" w:eastAsia="方正仿宋_GBK"/>
          <w:bCs/>
          <w:szCs w:val="32"/>
        </w:rPr>
        <w:t>，</w:t>
      </w:r>
      <w:r>
        <w:rPr>
          <w:rFonts w:ascii="方正仿宋_GBK" w:eastAsia="方正仿宋_GBK"/>
          <w:bCs/>
          <w:szCs w:val="32"/>
        </w:rPr>
        <w:t>社会力量信息集中动态管理，社会捐赠物资信息准确透明，社会救援力量、救援物资、救援装备组织调度及时高效。广泛发布与精准动员相结合的预警发布体系全面建成，企业、社区、动员发布能力大幅提升。互联网舆情监测分析全面及时，舆情引导和响应处置能力显著增强。智能化社会公众宣传培训体系全面形成，防灾减灾救灾知识和自救互救技能培训效果明显提高。</w:t>
      </w:r>
    </w:p>
    <w:p>
      <w:pPr>
        <w:pStyle w:val="20"/>
        <w:spacing w:after="0" w:line="579" w:lineRule="exact"/>
        <w:ind w:firstLine="642" w:firstLineChars="200"/>
        <w:rPr>
          <w:rFonts w:ascii="方正仿宋_GBK" w:eastAsia="方正仿宋_GBK"/>
          <w:b/>
          <w:szCs w:val="32"/>
        </w:rPr>
      </w:pPr>
      <w:r>
        <w:rPr>
          <w:rFonts w:hint="eastAsia" w:ascii="方正仿宋_GBK" w:eastAsia="方正仿宋_GBK"/>
          <w:b/>
          <w:szCs w:val="32"/>
        </w:rPr>
        <w:t>3</w:t>
      </w:r>
      <w:r>
        <w:rPr>
          <w:rFonts w:ascii="方正仿宋_GBK" w:eastAsia="方正仿宋_GBK"/>
          <w:b/>
          <w:szCs w:val="32"/>
        </w:rPr>
        <w:t>.</w:t>
      </w:r>
      <w:r>
        <w:rPr>
          <w:rFonts w:hint="eastAsia" w:ascii="方正仿宋_GBK" w:eastAsia="方正仿宋_GBK"/>
          <w:b/>
          <w:szCs w:val="32"/>
        </w:rPr>
        <w:t>核心指标</w:t>
      </w:r>
    </w:p>
    <w:p>
      <w:pPr>
        <w:pStyle w:val="16"/>
        <w:spacing w:line="579" w:lineRule="exact"/>
        <w:rPr>
          <w:rFonts w:ascii="方正仿宋_GBK" w:hAnsi="方正仿宋_GBK" w:cs="方正仿宋_GBK"/>
          <w:sz w:val="32"/>
          <w:szCs w:val="32"/>
        </w:rPr>
      </w:pPr>
      <w:r>
        <w:rPr>
          <w:rFonts w:hint="eastAsia" w:eastAsia="方正黑体_GBK"/>
          <w:sz w:val="32"/>
          <w:szCs w:val="32"/>
        </w:rPr>
        <w:t xml:space="preserve">表 </w:t>
      </w:r>
      <w:r>
        <w:rPr>
          <w:rFonts w:eastAsia="方正黑体_GBK"/>
          <w:sz w:val="32"/>
          <w:szCs w:val="32"/>
        </w:rPr>
        <w:fldChar w:fldCharType="begin"/>
      </w:r>
      <w:r>
        <w:rPr>
          <w:rFonts w:eastAsia="方正黑体_GBK"/>
          <w:sz w:val="32"/>
          <w:szCs w:val="32"/>
        </w:rPr>
        <w:instrText xml:space="preserve"> </w:instrText>
      </w:r>
      <w:r>
        <w:rPr>
          <w:rFonts w:hint="eastAsia" w:eastAsia="方正黑体_GBK"/>
          <w:sz w:val="32"/>
          <w:szCs w:val="32"/>
        </w:rPr>
        <w:instrText xml:space="preserve">SEQ 表 \* ARABIC</w:instrText>
      </w:r>
      <w:r>
        <w:rPr>
          <w:rFonts w:eastAsia="方正黑体_GBK"/>
          <w:sz w:val="32"/>
          <w:szCs w:val="32"/>
        </w:rPr>
        <w:instrText xml:space="preserve"> </w:instrText>
      </w:r>
      <w:r>
        <w:rPr>
          <w:rFonts w:eastAsia="方正黑体_GBK"/>
          <w:sz w:val="32"/>
          <w:szCs w:val="32"/>
        </w:rPr>
        <w:fldChar w:fldCharType="separate"/>
      </w:r>
      <w:r>
        <w:rPr>
          <w:rFonts w:eastAsia="方正黑体_GBK"/>
          <w:sz w:val="32"/>
          <w:szCs w:val="32"/>
        </w:rPr>
        <w:t>1</w:t>
      </w:r>
      <w:r>
        <w:rPr>
          <w:rFonts w:eastAsia="方正黑体_GBK"/>
          <w:sz w:val="32"/>
          <w:szCs w:val="32"/>
        </w:rPr>
        <w:fldChar w:fldCharType="end"/>
      </w:r>
      <w:r>
        <w:rPr>
          <w:rFonts w:eastAsia="方正黑体_GBK"/>
          <w:sz w:val="32"/>
          <w:szCs w:val="32"/>
        </w:rPr>
        <w:t xml:space="preserve"> </w:t>
      </w:r>
      <w:r>
        <w:rPr>
          <w:rFonts w:hint="eastAsia" w:eastAsia="方正黑体_GBK"/>
          <w:sz w:val="32"/>
          <w:szCs w:val="32"/>
        </w:rPr>
        <w:t>“十四五”时期应急管理核心指标</w:t>
      </w:r>
    </w:p>
    <w:tbl>
      <w:tblPr>
        <w:tblStyle w:val="36"/>
        <w:tblW w:w="0" w:type="auto"/>
        <w:jc w:val="center"/>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Layout w:type="fixed"/>
        <w:tblCellMar>
          <w:top w:w="0" w:type="dxa"/>
          <w:left w:w="108" w:type="dxa"/>
          <w:bottom w:w="0" w:type="dxa"/>
          <w:right w:w="108" w:type="dxa"/>
        </w:tblCellMar>
      </w:tblPr>
      <w:tblGrid>
        <w:gridCol w:w="792"/>
        <w:gridCol w:w="6223"/>
        <w:gridCol w:w="1654"/>
      </w:tblGrid>
      <w:tr>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tblHeader/>
          <w:jc w:val="center"/>
        </w:trPr>
        <w:tc>
          <w:tcPr>
            <w:tcW w:w="792" w:type="dxa"/>
            <w:tcBorders>
              <w:bottom w:val="single" w:color="auto" w:sz="4" w:space="0"/>
            </w:tcBorders>
            <w:vAlign w:val="center"/>
          </w:tcPr>
          <w:p>
            <w:pPr>
              <w:snapToGrid w:val="0"/>
              <w:spacing w:line="579" w:lineRule="exact"/>
              <w:jc w:val="center"/>
              <w:rPr>
                <w:rFonts w:ascii="方正黑体_GBK" w:hAnsi="方正黑体_GBK" w:eastAsia="方正黑体_GBK" w:cs="方正黑体_GBK"/>
                <w:sz w:val="28"/>
              </w:rPr>
            </w:pPr>
            <w:r>
              <w:rPr>
                <w:rFonts w:hint="eastAsia" w:ascii="方正黑体_GBK" w:hAnsi="方正黑体_GBK" w:eastAsia="方正黑体_GBK" w:cs="方正黑体_GBK"/>
                <w:sz w:val="28"/>
              </w:rPr>
              <w:t>序号</w:t>
            </w:r>
          </w:p>
        </w:tc>
        <w:tc>
          <w:tcPr>
            <w:tcW w:w="6223" w:type="dxa"/>
            <w:tcBorders>
              <w:bottom w:val="single" w:color="auto" w:sz="4" w:space="0"/>
            </w:tcBorders>
            <w:vAlign w:val="center"/>
          </w:tcPr>
          <w:p>
            <w:pPr>
              <w:snapToGrid w:val="0"/>
              <w:spacing w:line="579" w:lineRule="exact"/>
              <w:jc w:val="center"/>
              <w:rPr>
                <w:rFonts w:ascii="方正黑体_GBK" w:hAnsi="方正黑体_GBK" w:eastAsia="方正黑体_GBK" w:cs="方正黑体_GBK"/>
                <w:sz w:val="28"/>
              </w:rPr>
            </w:pPr>
            <w:r>
              <w:rPr>
                <w:rFonts w:hint="eastAsia" w:ascii="方正黑体_GBK" w:hAnsi="方正黑体_GBK" w:eastAsia="方正黑体_GBK" w:cs="方正黑体_GBK"/>
                <w:sz w:val="28"/>
              </w:rPr>
              <w:t>指标内容</w:t>
            </w:r>
          </w:p>
        </w:tc>
        <w:tc>
          <w:tcPr>
            <w:tcW w:w="1654" w:type="dxa"/>
            <w:tcBorders>
              <w:bottom w:val="single" w:color="auto" w:sz="4" w:space="0"/>
            </w:tcBorders>
            <w:vAlign w:val="center"/>
          </w:tcPr>
          <w:p>
            <w:pPr>
              <w:snapToGrid w:val="0"/>
              <w:spacing w:line="579" w:lineRule="exact"/>
              <w:jc w:val="center"/>
              <w:rPr>
                <w:rFonts w:ascii="方正黑体_GBK" w:hAnsi="方正黑体_GBK" w:eastAsia="方正黑体_GBK" w:cs="方正黑体_GBK"/>
                <w:sz w:val="28"/>
              </w:rPr>
            </w:pPr>
            <w:r>
              <w:rPr>
                <w:rFonts w:hint="eastAsia" w:ascii="方正黑体_GBK" w:hAnsi="方正黑体_GBK" w:eastAsia="方正黑体_GBK" w:cs="方正黑体_GBK"/>
                <w:sz w:val="28"/>
              </w:rPr>
              <w:t>预期值</w:t>
            </w:r>
          </w:p>
        </w:tc>
      </w:tr>
      <w:tr>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tcBorders>
              <w:top w:val="single" w:color="auto" w:sz="4" w:space="0"/>
            </w:tcBorders>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1</w:t>
            </w:r>
          </w:p>
        </w:tc>
        <w:tc>
          <w:tcPr>
            <w:tcW w:w="6223" w:type="dxa"/>
            <w:tcBorders>
              <w:top w:val="single" w:color="auto" w:sz="4" w:space="0"/>
            </w:tcBorders>
            <w:vAlign w:val="center"/>
          </w:tcPr>
          <w:p>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生产安全事故死亡人数</w:t>
            </w:r>
          </w:p>
        </w:tc>
        <w:tc>
          <w:tcPr>
            <w:tcW w:w="1654" w:type="dxa"/>
            <w:tcBorders>
              <w:top w:val="single" w:color="auto" w:sz="4" w:space="0"/>
            </w:tcBorders>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下降9%</w:t>
            </w:r>
          </w:p>
        </w:tc>
      </w:tr>
      <w:tr>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2</w:t>
            </w:r>
          </w:p>
        </w:tc>
        <w:tc>
          <w:tcPr>
            <w:tcW w:w="6223" w:type="dxa"/>
            <w:vAlign w:val="center"/>
          </w:tcPr>
          <w:p>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5年累计重特大生产安全事故起数</w:t>
            </w:r>
          </w:p>
        </w:tc>
        <w:tc>
          <w:tcPr>
            <w:tcW w:w="1654" w:type="dxa"/>
            <w:vAlign w:val="center"/>
          </w:tcPr>
          <w:p>
            <w:pPr>
              <w:snapToGrid w:val="0"/>
              <w:spacing w:line="579" w:lineRule="exact"/>
              <w:jc w:val="center"/>
              <w:rPr>
                <w:rFonts w:ascii="方正仿宋_GBK" w:hAnsi="方正黑体_GBK" w:cs="方正黑体_GBK"/>
                <w:sz w:val="28"/>
              </w:rPr>
            </w:pPr>
            <w:r>
              <w:rPr>
                <w:rFonts w:ascii="方正仿宋_GBK" w:hAnsi="方正黑体_GBK" w:cs="方正黑体_GBK"/>
                <w:sz w:val="28"/>
              </w:rPr>
              <w:t>0</w:t>
            </w:r>
            <w:r>
              <w:rPr>
                <w:rFonts w:hint="eastAsia" w:ascii="方正仿宋_GBK" w:hAnsi="方正黑体_GBK" w:cs="方正黑体_GBK"/>
                <w:sz w:val="28"/>
              </w:rPr>
              <w:t>起</w:t>
            </w:r>
          </w:p>
        </w:tc>
      </w:tr>
      <w:tr>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3</w:t>
            </w:r>
          </w:p>
        </w:tc>
        <w:tc>
          <w:tcPr>
            <w:tcW w:w="6223" w:type="dxa"/>
            <w:vAlign w:val="center"/>
          </w:tcPr>
          <w:p>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亿元生产总值生产安全事故死亡率</w:t>
            </w:r>
          </w:p>
        </w:tc>
        <w:tc>
          <w:tcPr>
            <w:tcW w:w="1654"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下降37.5%</w:t>
            </w:r>
          </w:p>
        </w:tc>
      </w:tr>
      <w:tr>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4</w:t>
            </w:r>
          </w:p>
        </w:tc>
        <w:tc>
          <w:tcPr>
            <w:tcW w:w="6223" w:type="dxa"/>
            <w:vAlign w:val="center"/>
          </w:tcPr>
          <w:p>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年均因自然灾害直接经济损失占生产总值的比例</w:t>
            </w:r>
          </w:p>
        </w:tc>
        <w:tc>
          <w:tcPr>
            <w:tcW w:w="1654"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≤1%</w:t>
            </w:r>
          </w:p>
        </w:tc>
      </w:tr>
      <w:tr>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5</w:t>
            </w:r>
          </w:p>
        </w:tc>
        <w:tc>
          <w:tcPr>
            <w:tcW w:w="6223" w:type="dxa"/>
            <w:vAlign w:val="center"/>
          </w:tcPr>
          <w:p>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年均每百万人口因自然灾害死亡率</w:t>
            </w:r>
          </w:p>
        </w:tc>
        <w:tc>
          <w:tcPr>
            <w:tcW w:w="1654"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≤1%</w:t>
            </w:r>
          </w:p>
        </w:tc>
      </w:tr>
      <w:tr>
        <w:tblPrEx>
          <w:tblBorders>
            <w:top w:val="single" w:color="000000" w:sz="8" w:space="0"/>
            <w:left w:val="single" w:color="000000" w:sz="8" w:space="0"/>
            <w:bottom w:val="single" w:color="000000" w:sz="8" w:space="0"/>
            <w:right w:val="single" w:color="000000" w:sz="8" w:space="0"/>
            <w:insideH w:val="dotted" w:color="000000" w:sz="4" w:space="0"/>
            <w:insideV w:val="dotted" w:color="000000" w:sz="4" w:space="0"/>
          </w:tblBorders>
          <w:tblCellMar>
            <w:top w:w="0" w:type="dxa"/>
            <w:left w:w="108" w:type="dxa"/>
            <w:bottom w:w="0" w:type="dxa"/>
            <w:right w:w="108" w:type="dxa"/>
          </w:tblCellMar>
        </w:tblPrEx>
        <w:trPr>
          <w:trHeight w:val="590" w:hRule="atLeast"/>
          <w:jc w:val="center"/>
        </w:trPr>
        <w:tc>
          <w:tcPr>
            <w:tcW w:w="792"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6</w:t>
            </w:r>
          </w:p>
        </w:tc>
        <w:tc>
          <w:tcPr>
            <w:tcW w:w="6223" w:type="dxa"/>
            <w:vAlign w:val="center"/>
          </w:tcPr>
          <w:p>
            <w:pPr>
              <w:snapToGrid w:val="0"/>
              <w:spacing w:line="579" w:lineRule="exact"/>
              <w:jc w:val="left"/>
              <w:rPr>
                <w:rFonts w:ascii="方正仿宋_GBK" w:hAnsi="方正黑体_GBK" w:cs="方正黑体_GBK"/>
                <w:sz w:val="28"/>
              </w:rPr>
            </w:pPr>
            <w:r>
              <w:rPr>
                <w:rFonts w:hint="eastAsia" w:ascii="方正仿宋_GBK" w:hAnsi="方正黑体_GBK" w:cs="方正黑体_GBK"/>
                <w:sz w:val="28"/>
              </w:rPr>
              <w:t>年均每十万人受灾人次</w:t>
            </w:r>
          </w:p>
        </w:tc>
        <w:tc>
          <w:tcPr>
            <w:tcW w:w="1654" w:type="dxa"/>
            <w:vAlign w:val="center"/>
          </w:tcPr>
          <w:p>
            <w:pPr>
              <w:snapToGrid w:val="0"/>
              <w:spacing w:line="579" w:lineRule="exact"/>
              <w:jc w:val="center"/>
              <w:rPr>
                <w:rFonts w:ascii="方正仿宋_GBK" w:hAnsi="方正黑体_GBK" w:cs="方正黑体_GBK"/>
                <w:sz w:val="28"/>
              </w:rPr>
            </w:pPr>
            <w:r>
              <w:rPr>
                <w:rFonts w:hint="eastAsia" w:ascii="方正仿宋_GBK" w:hAnsi="方正黑体_GBK" w:cs="方正黑体_GBK"/>
                <w:sz w:val="28"/>
              </w:rPr>
              <w:t>&lt;15000人</w:t>
            </w:r>
          </w:p>
        </w:tc>
      </w:tr>
    </w:tbl>
    <w:p>
      <w:pPr>
        <w:pStyle w:val="2"/>
        <w:keepNext/>
        <w:keepLines/>
        <w:spacing w:before="0" w:line="579" w:lineRule="exact"/>
        <w:ind w:left="640" w:leftChars="200"/>
        <w:rPr>
          <w:rFonts w:ascii="方正黑体_GBK" w:hAnsi="Times New Roman" w:eastAsia="方正黑体_GBK"/>
          <w:b w:val="0"/>
          <w:bCs/>
          <w:kern w:val="44"/>
          <w:szCs w:val="44"/>
        </w:rPr>
      </w:pPr>
      <w:bookmarkStart w:id="38" w:name="_Toc87275317"/>
      <w:bookmarkStart w:id="39" w:name="_Toc75618154"/>
      <w:r>
        <w:rPr>
          <w:rFonts w:hint="eastAsia" w:ascii="方正黑体_GBK" w:hAnsi="Times New Roman" w:eastAsia="方正黑体_GBK"/>
          <w:b w:val="0"/>
          <w:bCs/>
          <w:kern w:val="44"/>
          <w:szCs w:val="44"/>
        </w:rPr>
        <w:t>四、主要任务</w:t>
      </w:r>
      <w:bookmarkEnd w:id="38"/>
      <w:bookmarkEnd w:id="39"/>
    </w:p>
    <w:p>
      <w:pPr>
        <w:pStyle w:val="5"/>
        <w:keepNext/>
        <w:keepLines/>
        <w:spacing w:before="0" w:line="579" w:lineRule="exact"/>
        <w:ind w:firstLine="640" w:firstLineChars="200"/>
        <w:rPr>
          <w:rFonts w:ascii="方正楷体_GBK" w:hAnsi="Times New Roman" w:eastAsia="方正楷体_GBK"/>
          <w:b w:val="0"/>
          <w:bCs/>
          <w:sz w:val="32"/>
          <w:szCs w:val="32"/>
        </w:rPr>
      </w:pPr>
      <w:bookmarkStart w:id="40" w:name="_Toc75618155"/>
      <w:bookmarkStart w:id="41" w:name="_Toc87275318"/>
      <w:bookmarkStart w:id="42" w:name="_Toc12200227"/>
      <w:r>
        <w:rPr>
          <w:rFonts w:hint="eastAsia" w:ascii="方正楷体_GBK" w:hAnsi="Times New Roman" w:eastAsia="方正楷体_GBK"/>
          <w:b w:val="0"/>
          <w:bCs/>
          <w:sz w:val="32"/>
          <w:szCs w:val="32"/>
        </w:rPr>
        <w:t>（一）深化应急管理机制体制改革</w:t>
      </w:r>
      <w:bookmarkEnd w:id="40"/>
      <w:bookmarkEnd w:id="41"/>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以应急管理工作改革为导向，持续开展技术创新和管理创新，按照我市构建行政管理、组织指挥、应急力量、制度保障“四大体系”要求，进一步深化“统一领导、综合协调、分类管理、分级负责、属地管理为主”的应急管理体制，加强和补充我区应急管理政策工具的出台和研究。</w:t>
      </w:r>
    </w:p>
    <w:p>
      <w:pPr>
        <w:pStyle w:val="6"/>
        <w:adjustRightInd w:val="0"/>
        <w:snapToGrid w:val="0"/>
        <w:spacing w:before="0" w:after="0" w:line="579" w:lineRule="exact"/>
        <w:ind w:firstLine="642" w:firstLineChars="200"/>
        <w:rPr>
          <w:rFonts w:ascii="方正仿宋_GBK" w:hAnsi="宋体" w:eastAsia="方正仿宋_GBK"/>
        </w:rPr>
      </w:pPr>
      <w:bookmarkStart w:id="43" w:name="_Toc87275319"/>
      <w:r>
        <w:rPr>
          <w:rFonts w:hint="eastAsia" w:ascii="方正仿宋_GBK" w:hAnsi="宋体" w:eastAsia="方正仿宋_GBK"/>
        </w:rPr>
        <w:t>1.强化组织领导机制</w:t>
      </w:r>
      <w:bookmarkEnd w:id="43"/>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加强两江新区党工委管委会对应急管理工作的组织领导，落实“党政同责、一岗双责、齐抓共管、失职追责”的领导干部安全生产责任制，明确党委和政府主要责任人同为应急管理第一责任人，把应急管理工作纳入党委和政府的议事日程。按照“分级负责、属地管理”的原则，层层</w:t>
      </w:r>
      <w:r>
        <w:rPr>
          <w:rFonts w:ascii="方正仿宋_GBK" w:eastAsia="方正仿宋_GBK"/>
          <w:szCs w:val="32"/>
        </w:rPr>
        <w:t>制定党政领导干部安全生产“</w:t>
      </w:r>
      <w:r>
        <w:rPr>
          <w:rFonts w:hint="eastAsia" w:ascii="方正仿宋_GBK" w:eastAsia="方正仿宋_GBK"/>
          <w:szCs w:val="32"/>
        </w:rPr>
        <w:t>职责</w:t>
      </w:r>
      <w:r>
        <w:rPr>
          <w:rFonts w:ascii="方正仿宋_GBK" w:eastAsia="方正仿宋_GBK"/>
          <w:szCs w:val="32"/>
        </w:rPr>
        <w:t>清单”</w:t>
      </w:r>
      <w:r>
        <w:rPr>
          <w:rFonts w:hint="eastAsia" w:ascii="方正仿宋_GBK" w:eastAsia="方正仿宋_GBK"/>
          <w:szCs w:val="32"/>
        </w:rPr>
        <w:t>和</w:t>
      </w:r>
      <w:r>
        <w:rPr>
          <w:rFonts w:ascii="方正仿宋_GBK" w:eastAsia="方正仿宋_GBK"/>
          <w:szCs w:val="32"/>
        </w:rPr>
        <w:t>年度“</w:t>
      </w:r>
      <w:r>
        <w:rPr>
          <w:rFonts w:hint="eastAsia" w:ascii="方正仿宋_GBK" w:eastAsia="方正仿宋_GBK"/>
          <w:szCs w:val="32"/>
        </w:rPr>
        <w:t>工作</w:t>
      </w:r>
      <w:r>
        <w:rPr>
          <w:rFonts w:ascii="方正仿宋_GBK" w:eastAsia="方正仿宋_GBK"/>
          <w:szCs w:val="32"/>
        </w:rPr>
        <w:t>清单”</w:t>
      </w:r>
      <w:r>
        <w:rPr>
          <w:rFonts w:hint="eastAsia" w:ascii="方正仿宋_GBK" w:eastAsia="方正仿宋_GBK"/>
          <w:szCs w:val="32"/>
        </w:rPr>
        <w:t>，把</w:t>
      </w:r>
      <w:r>
        <w:rPr>
          <w:rFonts w:ascii="方正仿宋_GBK" w:eastAsia="方正仿宋_GBK"/>
          <w:szCs w:val="32"/>
        </w:rPr>
        <w:t>安全</w:t>
      </w:r>
      <w:r>
        <w:rPr>
          <w:rFonts w:hint="eastAsia" w:ascii="方正仿宋_GBK" w:eastAsia="方正仿宋_GBK"/>
          <w:szCs w:val="32"/>
        </w:rPr>
        <w:t>发展</w:t>
      </w:r>
      <w:r>
        <w:rPr>
          <w:rFonts w:ascii="方正仿宋_GBK" w:eastAsia="方正仿宋_GBK"/>
          <w:szCs w:val="32"/>
        </w:rPr>
        <w:t>纳入</w:t>
      </w:r>
      <w:r>
        <w:rPr>
          <w:rFonts w:hint="eastAsia" w:ascii="方正仿宋_GBK" w:eastAsia="方正仿宋_GBK"/>
          <w:szCs w:val="32"/>
        </w:rPr>
        <w:t>高质量</w:t>
      </w:r>
      <w:r>
        <w:rPr>
          <w:rFonts w:ascii="方正仿宋_GBK" w:eastAsia="方正仿宋_GBK"/>
          <w:szCs w:val="32"/>
        </w:rPr>
        <w:t>发展评价体系</w:t>
      </w:r>
      <w:r>
        <w:rPr>
          <w:rFonts w:hint="eastAsia" w:ascii="方正仿宋_GBK" w:eastAsia="方正仿宋_GBK"/>
          <w:szCs w:val="32"/>
        </w:rPr>
        <w:t>，将应急管理体系和能力建设纳入党政领导干部政绩考核内容。构建由应急管理指挥机构统领，各部门密切配合，当地军事机关有效参与，统一指挥、分类处置、分级负责和专家支撑有机衔接的应急指挥体系。</w:t>
      </w:r>
    </w:p>
    <w:p>
      <w:pPr>
        <w:pStyle w:val="6"/>
        <w:adjustRightInd w:val="0"/>
        <w:snapToGrid w:val="0"/>
        <w:spacing w:before="0" w:after="0" w:line="579" w:lineRule="exact"/>
        <w:ind w:firstLine="642" w:firstLineChars="200"/>
        <w:rPr>
          <w:rFonts w:ascii="方正仿宋_GBK" w:hAnsi="宋体" w:eastAsia="方正仿宋_GBK"/>
        </w:rPr>
      </w:pPr>
      <w:bookmarkStart w:id="44" w:name="_Toc87275320"/>
      <w:r>
        <w:rPr>
          <w:rFonts w:hint="eastAsia" w:ascii="方正仿宋_GBK" w:hAnsi="宋体" w:eastAsia="方正仿宋_GBK"/>
        </w:rPr>
        <w:t>2.强化行政管理体系</w:t>
      </w:r>
      <w:bookmarkEnd w:id="44"/>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围绕</w:t>
      </w:r>
      <w:r>
        <w:rPr>
          <w:rFonts w:ascii="方正仿宋_GBK" w:eastAsia="方正仿宋_GBK"/>
          <w:szCs w:val="32"/>
        </w:rPr>
        <w:t>应急管理部门统筹协调、行业管理部门组织指导、地方政府属地管理，健全“三级体系、五级网络”行政管理</w:t>
      </w:r>
      <w:r>
        <w:rPr>
          <w:rFonts w:hint="eastAsia" w:ascii="方正仿宋_GBK" w:eastAsia="方正仿宋_GBK"/>
          <w:szCs w:val="32"/>
        </w:rPr>
        <w:t>体系建设。</w:t>
      </w:r>
    </w:p>
    <w:p>
      <w:pPr>
        <w:pStyle w:val="6"/>
        <w:adjustRightInd w:val="0"/>
        <w:snapToGrid w:val="0"/>
        <w:spacing w:before="0" w:after="0" w:line="579" w:lineRule="exact"/>
        <w:ind w:firstLine="642" w:firstLineChars="200"/>
        <w:rPr>
          <w:rFonts w:ascii="方正仿宋_GBK" w:hAnsi="宋体" w:eastAsia="方正仿宋_GBK"/>
        </w:rPr>
      </w:pPr>
      <w:bookmarkStart w:id="45" w:name="_Toc87275321"/>
      <w:r>
        <w:rPr>
          <w:rFonts w:ascii="方正仿宋_GBK" w:hAnsi="宋体" w:eastAsia="方正仿宋_GBK"/>
        </w:rPr>
        <w:t>3</w:t>
      </w:r>
      <w:r>
        <w:rPr>
          <w:rFonts w:hint="eastAsia" w:ascii="方正仿宋_GBK" w:hAnsi="宋体" w:eastAsia="方正仿宋_GBK"/>
        </w:rPr>
        <w:t>.强化统筹联动机制</w:t>
      </w:r>
      <w:bookmarkEnd w:id="45"/>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健全应急委、安委会、减灾委“三委”、安全生产专项办公室以及各专项指挥部职能</w:t>
      </w:r>
      <w:r>
        <w:rPr>
          <w:rFonts w:hint="eastAsia" w:ascii="方正仿宋_GBK" w:hAnsi="方正仿宋_GBK" w:cs="方正仿宋_GBK"/>
          <w:szCs w:val="32"/>
        </w:rPr>
        <w:t>，</w:t>
      </w:r>
      <w:r>
        <w:rPr>
          <w:rFonts w:hint="eastAsia" w:ascii="方正仿宋_GBK" w:eastAsia="方正仿宋_GBK"/>
          <w:szCs w:val="32"/>
        </w:rPr>
        <w:t>进一步明确各部门平时政务协同职责和战时应急响应职责。健全联合值守和信息报送机制。完善军地联动机制，健全驻渝解放军、武警部队参与抢险救灾的程序办法和协同关系，提高联动指挥和救援保障效能。</w:t>
      </w:r>
    </w:p>
    <w:p>
      <w:pPr>
        <w:pStyle w:val="6"/>
        <w:adjustRightInd w:val="0"/>
        <w:snapToGrid w:val="0"/>
        <w:spacing w:before="0" w:after="0" w:line="579" w:lineRule="exact"/>
        <w:ind w:firstLine="642" w:firstLineChars="200"/>
        <w:rPr>
          <w:rFonts w:ascii="方正仿宋_GBK" w:hAnsi="宋体" w:eastAsia="方正仿宋_GBK"/>
        </w:rPr>
      </w:pPr>
      <w:bookmarkStart w:id="46" w:name="_Toc87275322"/>
      <w:r>
        <w:rPr>
          <w:rFonts w:ascii="方正仿宋_GBK" w:hAnsi="宋体" w:eastAsia="方正仿宋_GBK"/>
        </w:rPr>
        <w:t>4</w:t>
      </w:r>
      <w:r>
        <w:rPr>
          <w:rFonts w:hint="eastAsia" w:ascii="方正仿宋_GBK" w:hAnsi="宋体" w:eastAsia="方正仿宋_GBK"/>
        </w:rPr>
        <w:t>.完善基层应急体系</w:t>
      </w:r>
      <w:bookmarkEnd w:id="46"/>
    </w:p>
    <w:p>
      <w:pPr>
        <w:pStyle w:val="20"/>
        <w:spacing w:after="0" w:line="579" w:lineRule="exact"/>
        <w:ind w:firstLine="640" w:firstLineChars="200"/>
        <w:rPr>
          <w:rFonts w:ascii="方正仿宋_GBK" w:eastAsia="方正仿宋_GBK"/>
          <w:szCs w:val="32"/>
        </w:rPr>
      </w:pPr>
      <w:r>
        <w:rPr>
          <w:rFonts w:ascii="方正仿宋_GBK" w:eastAsia="方正仿宋_GBK"/>
          <w:szCs w:val="32"/>
        </w:rPr>
        <w:t>开展基层应急管理机构规范化建设</w:t>
      </w:r>
      <w:r>
        <w:rPr>
          <w:rFonts w:hint="eastAsia" w:ascii="方正仿宋_GBK" w:eastAsia="方正仿宋_GBK"/>
          <w:szCs w:val="32"/>
        </w:rPr>
        <w:t>，</w:t>
      </w:r>
      <w:r>
        <w:rPr>
          <w:rFonts w:ascii="方正仿宋_GBK" w:eastAsia="方正仿宋_GBK"/>
          <w:szCs w:val="32"/>
        </w:rPr>
        <w:t>完善基层应急管理机构设置</w:t>
      </w:r>
      <w:r>
        <w:rPr>
          <w:rFonts w:hint="eastAsia" w:ascii="方正仿宋_GBK" w:eastAsia="方正仿宋_GBK"/>
          <w:szCs w:val="32"/>
        </w:rPr>
        <w:t>。</w:t>
      </w:r>
      <w:r>
        <w:rPr>
          <w:rFonts w:ascii="方正仿宋_GBK" w:eastAsia="方正仿宋_GBK"/>
          <w:szCs w:val="32"/>
        </w:rPr>
        <w:t>改善</w:t>
      </w:r>
      <w:r>
        <w:rPr>
          <w:rFonts w:hint="eastAsia" w:ascii="方正仿宋_GBK" w:eastAsia="方正仿宋_GBK"/>
          <w:szCs w:val="32"/>
        </w:rPr>
        <w:t>基层应急指挥场所，完善基层应急</w:t>
      </w:r>
      <w:r>
        <w:rPr>
          <w:rFonts w:ascii="方正仿宋_GBK" w:eastAsia="方正仿宋_GBK"/>
          <w:szCs w:val="32"/>
        </w:rPr>
        <w:t>装备</w:t>
      </w:r>
      <w:r>
        <w:rPr>
          <w:rFonts w:hint="eastAsia" w:ascii="方正仿宋_GBK" w:eastAsia="方正仿宋_GBK"/>
          <w:szCs w:val="32"/>
        </w:rPr>
        <w:t>和应急物资配备。</w:t>
      </w:r>
      <w:r>
        <w:rPr>
          <w:rFonts w:ascii="方正仿宋_GBK" w:eastAsia="方正仿宋_GBK"/>
          <w:szCs w:val="32"/>
        </w:rPr>
        <w:t>推动社区应急服务站</w:t>
      </w:r>
      <w:r>
        <w:rPr>
          <w:rFonts w:hint="eastAsia" w:ascii="方正仿宋_GBK" w:eastAsia="方正仿宋_GBK"/>
          <w:szCs w:val="32"/>
        </w:rPr>
        <w:t>建设。梳理</w:t>
      </w:r>
      <w:r>
        <w:rPr>
          <w:rFonts w:ascii="方正仿宋_GBK" w:eastAsia="方正仿宋_GBK"/>
          <w:szCs w:val="32"/>
        </w:rPr>
        <w:t>基层网格员资源，明确应急管理网格内容</w:t>
      </w:r>
      <w:r>
        <w:rPr>
          <w:rFonts w:hint="eastAsia" w:ascii="方正仿宋_GBK" w:eastAsia="方正仿宋_GBK"/>
          <w:szCs w:val="32"/>
        </w:rPr>
        <w:t>。明确基层应急专业人员配置</w:t>
      </w:r>
      <w:r>
        <w:rPr>
          <w:rFonts w:hint="eastAsia"/>
          <w:szCs w:val="32"/>
        </w:rPr>
        <w:t>，</w:t>
      </w:r>
      <w:r>
        <w:rPr>
          <w:rFonts w:hint="eastAsia" w:ascii="方正仿宋_GBK" w:eastAsia="方正仿宋_GBK"/>
          <w:szCs w:val="32"/>
        </w:rPr>
        <w:t>加强专业能力培训，提升人员福利水平。</w:t>
      </w:r>
    </w:p>
    <w:p>
      <w:pPr>
        <w:pStyle w:val="6"/>
        <w:adjustRightInd w:val="0"/>
        <w:snapToGrid w:val="0"/>
        <w:spacing w:before="0" w:after="0" w:line="579" w:lineRule="exact"/>
        <w:ind w:firstLine="642" w:firstLineChars="200"/>
        <w:rPr>
          <w:rFonts w:ascii="方正仿宋_GBK" w:hAnsi="宋体" w:eastAsia="方正仿宋_GBK"/>
        </w:rPr>
      </w:pPr>
      <w:bookmarkStart w:id="47" w:name="_Toc87275323"/>
      <w:r>
        <w:rPr>
          <w:rFonts w:ascii="方正仿宋_GBK" w:hAnsi="宋体" w:eastAsia="方正仿宋_GBK"/>
        </w:rPr>
        <w:t>5</w:t>
      </w:r>
      <w:r>
        <w:rPr>
          <w:rFonts w:hint="eastAsia" w:ascii="方正仿宋_GBK" w:hAnsi="宋体" w:eastAsia="方正仿宋_GBK"/>
        </w:rPr>
        <w:t>.强化属地管理责任</w:t>
      </w:r>
      <w:bookmarkEnd w:id="47"/>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坚持属地管理原则，进一步健全事故灾害分级响应机制，完善鱼复、水土、龙兴“三大新城”及基层安全监管机制，推进三大新城</w:t>
      </w:r>
      <w:r>
        <w:rPr>
          <w:rFonts w:ascii="方正仿宋_GBK" w:eastAsia="方正仿宋_GBK"/>
          <w:szCs w:val="32"/>
        </w:rPr>
        <w:t>安全监管机构</w:t>
      </w:r>
      <w:r>
        <w:rPr>
          <w:rFonts w:hint="eastAsia" w:ascii="方正仿宋_GBK" w:eastAsia="方正仿宋_GBK"/>
          <w:szCs w:val="32"/>
        </w:rPr>
        <w:t>建设。</w:t>
      </w:r>
    </w:p>
    <w:p>
      <w:pPr>
        <w:pStyle w:val="6"/>
        <w:adjustRightInd w:val="0"/>
        <w:snapToGrid w:val="0"/>
        <w:spacing w:before="0" w:after="0" w:line="579" w:lineRule="exact"/>
        <w:ind w:firstLine="642" w:firstLineChars="200"/>
        <w:rPr>
          <w:rFonts w:ascii="方正仿宋_GBK" w:hAnsi="宋体" w:eastAsia="方正仿宋_GBK"/>
        </w:rPr>
      </w:pPr>
      <w:bookmarkStart w:id="48" w:name="_Toc87275324"/>
      <w:r>
        <w:rPr>
          <w:rFonts w:ascii="方正仿宋_GBK" w:hAnsi="宋体" w:eastAsia="方正仿宋_GBK"/>
        </w:rPr>
        <w:t>6</w:t>
      </w:r>
      <w:r>
        <w:rPr>
          <w:rFonts w:hint="eastAsia" w:ascii="方正仿宋_GBK" w:hAnsi="宋体" w:eastAsia="方正仿宋_GBK"/>
        </w:rPr>
        <w:t>.强化行业监管责任</w:t>
      </w:r>
      <w:bookmarkEnd w:id="48"/>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发挥应急管理部门的综合优势和行业主管部门的专业优势，建立应急管理部门统筹、行业主管部门配合的跨部门、跨层级、跨平台的应急协同联动机制，确保应急责任无缝对接。按照“三必须”要求，制定应急管理部门和行业主管部门安全生产和自然灾害防治责任清单。</w:t>
      </w:r>
    </w:p>
    <w:p>
      <w:pPr>
        <w:pStyle w:val="6"/>
        <w:adjustRightInd w:val="0"/>
        <w:snapToGrid w:val="0"/>
        <w:spacing w:before="0" w:after="0" w:line="579" w:lineRule="exact"/>
        <w:ind w:firstLine="642" w:firstLineChars="200"/>
        <w:rPr>
          <w:rFonts w:ascii="方正仿宋_GBK" w:hAnsi="宋体" w:eastAsia="方正仿宋_GBK"/>
        </w:rPr>
      </w:pPr>
      <w:bookmarkStart w:id="49" w:name="_Toc87275325"/>
      <w:r>
        <w:rPr>
          <w:rFonts w:ascii="方正仿宋_GBK" w:hAnsi="宋体" w:eastAsia="方正仿宋_GBK"/>
        </w:rPr>
        <w:t>7</w:t>
      </w:r>
      <w:r>
        <w:rPr>
          <w:rFonts w:hint="eastAsia" w:ascii="方正仿宋_GBK" w:hAnsi="宋体" w:eastAsia="方正仿宋_GBK"/>
        </w:rPr>
        <w:t>.压实企业主体责任</w:t>
      </w:r>
      <w:bookmarkEnd w:id="49"/>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强化企业法人、实际控制人、安全主管等人员的安全责任，落实“总工程师”制度，强化安全资金投入保障，实施安全第三方保险责任制，监督企业加强安全生产风险管理，开展企业安全生产培训，协助企业安全生产隐患排查和危险辨识，完善企业安全生产信用评价体系和投诉举报机制。</w:t>
      </w:r>
    </w:p>
    <w:p>
      <w:pPr>
        <w:pStyle w:val="6"/>
        <w:adjustRightInd w:val="0"/>
        <w:snapToGrid w:val="0"/>
        <w:spacing w:before="0" w:after="0" w:line="579" w:lineRule="exact"/>
        <w:ind w:firstLine="642" w:firstLineChars="200"/>
        <w:rPr>
          <w:rFonts w:ascii="方正仿宋_GBK" w:hAnsi="宋体" w:eastAsia="方正仿宋_GBK"/>
        </w:rPr>
      </w:pPr>
      <w:bookmarkStart w:id="50" w:name="_Toc87275326"/>
      <w:r>
        <w:rPr>
          <w:rFonts w:ascii="方正仿宋_GBK" w:hAnsi="宋体" w:eastAsia="方正仿宋_GBK"/>
        </w:rPr>
        <w:t>8</w:t>
      </w:r>
      <w:r>
        <w:rPr>
          <w:rFonts w:hint="eastAsia" w:ascii="方正仿宋_GBK" w:hAnsi="宋体" w:eastAsia="方正仿宋_GBK"/>
        </w:rPr>
        <w:t>.完善制度保障机制</w:t>
      </w:r>
      <w:bookmarkEnd w:id="50"/>
    </w:p>
    <w:p>
      <w:pPr>
        <w:pStyle w:val="20"/>
        <w:spacing w:after="0" w:line="579" w:lineRule="exact"/>
        <w:ind w:firstLine="640" w:firstLineChars="200"/>
        <w:rPr>
          <w:rFonts w:ascii="方正仿宋_GBK" w:eastAsia="方正仿宋_GBK"/>
          <w:szCs w:val="32"/>
        </w:rPr>
      </w:pPr>
      <w:r>
        <w:rPr>
          <w:rFonts w:ascii="方正仿宋_GBK" w:eastAsia="方正仿宋_GBK"/>
          <w:szCs w:val="32"/>
        </w:rPr>
        <w:t>推进应急管理相关</w:t>
      </w:r>
      <w:r>
        <w:rPr>
          <w:rFonts w:hint="eastAsia" w:ascii="方正仿宋_GBK" w:eastAsia="方正仿宋_GBK"/>
          <w:szCs w:val="32"/>
        </w:rPr>
        <w:t>法规、制度的有效实施、加强地方应急管理相关标准规范的编制和修订。完善加强应急培训演练、文化宣传、基层应急体系规范化建设，努力推动出台</w:t>
      </w:r>
      <w:r>
        <w:rPr>
          <w:rFonts w:ascii="方正仿宋_GBK" w:eastAsia="方正仿宋_GBK"/>
          <w:szCs w:val="32"/>
        </w:rPr>
        <w:t>7</w:t>
      </w:r>
      <w:r>
        <w:rPr>
          <w:rFonts w:hint="eastAsia" w:ascii="方正仿宋_GBK" w:eastAsia="方正仿宋_GBK"/>
          <w:szCs w:val="32"/>
        </w:rPr>
        <w:t>*</w:t>
      </w:r>
      <w:r>
        <w:rPr>
          <w:rFonts w:ascii="方正仿宋_GBK" w:eastAsia="方正仿宋_GBK"/>
          <w:szCs w:val="32"/>
        </w:rPr>
        <w:t>24</w:t>
      </w:r>
      <w:r>
        <w:rPr>
          <w:rFonts w:hint="eastAsia" w:ascii="方正仿宋_GBK" w:eastAsia="方正仿宋_GBK"/>
          <w:szCs w:val="32"/>
        </w:rPr>
        <w:t>小时应急值守人员津贴制度等应急资金保障机制建设。</w:t>
      </w:r>
    </w:p>
    <w:p>
      <w:pPr>
        <w:pStyle w:val="6"/>
        <w:adjustRightInd w:val="0"/>
        <w:snapToGrid w:val="0"/>
        <w:spacing w:before="0" w:after="0" w:line="579" w:lineRule="exact"/>
        <w:ind w:firstLine="642" w:firstLineChars="200"/>
        <w:rPr>
          <w:rFonts w:ascii="方正仿宋_GBK" w:hAnsi="宋体" w:eastAsia="方正仿宋_GBK"/>
        </w:rPr>
      </w:pPr>
      <w:bookmarkStart w:id="51" w:name="_Toc87275327"/>
      <w:r>
        <w:rPr>
          <w:rFonts w:ascii="方正仿宋_GBK" w:hAnsi="宋体" w:eastAsia="方正仿宋_GBK"/>
        </w:rPr>
        <w:t>9</w:t>
      </w:r>
      <w:r>
        <w:rPr>
          <w:rFonts w:hint="eastAsia" w:ascii="方正仿宋_GBK" w:hAnsi="宋体" w:eastAsia="方正仿宋_GBK"/>
        </w:rPr>
        <w:t>.完善行政执法机制</w:t>
      </w:r>
      <w:bookmarkEnd w:id="51"/>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加大应急管理领域法律法规的宣传普及活动。梳理各项</w:t>
      </w:r>
      <w:r>
        <w:rPr>
          <w:rFonts w:ascii="方正仿宋_GBK" w:eastAsia="方正仿宋_GBK"/>
          <w:szCs w:val="32"/>
        </w:rPr>
        <w:t>行政处罚、行政强制</w:t>
      </w:r>
      <w:r>
        <w:rPr>
          <w:rFonts w:hint="eastAsia" w:ascii="方正仿宋_GBK" w:eastAsia="方正仿宋_GBK"/>
          <w:szCs w:val="32"/>
        </w:rPr>
        <w:t>等</w:t>
      </w:r>
      <w:r>
        <w:rPr>
          <w:rFonts w:ascii="方正仿宋_GBK" w:eastAsia="方正仿宋_GBK"/>
          <w:szCs w:val="32"/>
        </w:rPr>
        <w:t>职能</w:t>
      </w:r>
      <w:r>
        <w:rPr>
          <w:rFonts w:hint="eastAsia" w:ascii="方正仿宋_GBK" w:eastAsia="方正仿宋_GBK"/>
          <w:szCs w:val="32"/>
        </w:rPr>
        <w:t>，建立</w:t>
      </w:r>
      <w:r>
        <w:rPr>
          <w:rFonts w:ascii="方正仿宋_GBK" w:eastAsia="方正仿宋_GBK"/>
          <w:szCs w:val="32"/>
        </w:rPr>
        <w:t>应急管理综合行政执法队伍</w:t>
      </w:r>
      <w:r>
        <w:rPr>
          <w:rFonts w:hint="eastAsia" w:ascii="方正仿宋_GBK" w:eastAsia="方正仿宋_GBK"/>
          <w:szCs w:val="32"/>
        </w:rPr>
        <w:t>，</w:t>
      </w:r>
      <w:r>
        <w:rPr>
          <w:rFonts w:ascii="方正仿宋_GBK" w:eastAsia="方正仿宋_GBK"/>
          <w:szCs w:val="32"/>
        </w:rPr>
        <w:t>厘清管辖执法权限，实施精准执法</w:t>
      </w:r>
      <w:r>
        <w:rPr>
          <w:rFonts w:hint="eastAsia" w:ascii="方正仿宋_GBK" w:eastAsia="方正仿宋_GBK"/>
          <w:szCs w:val="32"/>
        </w:rPr>
        <w:t>。</w:t>
      </w:r>
      <w:r>
        <w:rPr>
          <w:rFonts w:ascii="方正仿宋_GBK" w:eastAsia="方正仿宋_GBK"/>
          <w:szCs w:val="32"/>
        </w:rPr>
        <w:t>统一执法装备、制式服装、标志和执法用车配备</w:t>
      </w:r>
      <w:r>
        <w:rPr>
          <w:rFonts w:hint="eastAsia" w:ascii="方正仿宋_GBK" w:eastAsia="方正仿宋_GBK"/>
          <w:szCs w:val="32"/>
        </w:rPr>
        <w:t>。完善现场执法、远程检查相配合的执法体系建设。</w:t>
      </w:r>
    </w:p>
    <w:p>
      <w:pPr>
        <w:pStyle w:val="6"/>
        <w:adjustRightInd w:val="0"/>
        <w:snapToGrid w:val="0"/>
        <w:spacing w:before="0" w:after="0" w:line="579" w:lineRule="exact"/>
        <w:ind w:firstLine="642" w:firstLineChars="200"/>
        <w:rPr>
          <w:rFonts w:ascii="方正仿宋_GBK" w:hAnsi="宋体" w:eastAsia="方正仿宋_GBK"/>
        </w:rPr>
      </w:pPr>
      <w:bookmarkStart w:id="52" w:name="_Toc87275328"/>
      <w:r>
        <w:rPr>
          <w:rFonts w:hint="eastAsia" w:ascii="方正仿宋_GBK" w:hAnsi="宋体" w:eastAsia="方正仿宋_GBK"/>
        </w:rPr>
        <w:t>10.完善目标考核和责任追究</w:t>
      </w:r>
      <w:bookmarkEnd w:id="52"/>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将应急管理责任考核纳入政府政务工作统一考核指标体系，严格安全生产“一票否决”制度，严格灾害事故直报制度，对瞒报、谎报、漏报、迟报的单位和个人依法依规追责。</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53" w:name="_Toc75618156"/>
      <w:bookmarkStart w:id="54" w:name="_Toc87275329"/>
      <w:r>
        <w:rPr>
          <w:rFonts w:hint="eastAsia" w:ascii="方正楷体_GBK" w:hAnsi="Times New Roman" w:eastAsia="方正楷体_GBK"/>
          <w:b w:val="0"/>
          <w:bCs/>
          <w:sz w:val="32"/>
          <w:szCs w:val="32"/>
        </w:rPr>
        <w:t>（二）继续强化风险预防治理能力建设</w:t>
      </w:r>
      <w:bookmarkEnd w:id="53"/>
      <w:bookmarkEnd w:id="54"/>
    </w:p>
    <w:p>
      <w:pPr>
        <w:pStyle w:val="6"/>
        <w:adjustRightInd w:val="0"/>
        <w:snapToGrid w:val="0"/>
        <w:spacing w:before="0" w:after="0" w:line="579" w:lineRule="exact"/>
        <w:ind w:firstLine="642" w:firstLineChars="200"/>
        <w:rPr>
          <w:rFonts w:ascii="方正仿宋_GBK" w:hAnsi="宋体" w:eastAsia="方正仿宋_GBK"/>
        </w:rPr>
      </w:pPr>
      <w:bookmarkStart w:id="55" w:name="_Toc87275330"/>
      <w:r>
        <w:rPr>
          <w:rFonts w:hint="eastAsia" w:ascii="方正仿宋_GBK" w:hAnsi="宋体" w:eastAsia="方正仿宋_GBK"/>
        </w:rPr>
        <w:t>1.加强风险监测预警能力</w:t>
      </w:r>
      <w:bookmarkEnd w:id="55"/>
    </w:p>
    <w:p>
      <w:pPr>
        <w:pStyle w:val="4"/>
        <w:spacing w:line="579" w:lineRule="exact"/>
        <w:ind w:firstLine="640"/>
        <w:rPr>
          <w:rFonts w:ascii="方正仿宋_GBK" w:eastAsia="方正仿宋_GBK"/>
          <w:szCs w:val="32"/>
        </w:rPr>
      </w:pPr>
      <w:r>
        <w:rPr>
          <w:rFonts w:hint="eastAsia" w:ascii="方正仿宋_GBK" w:eastAsia="方正仿宋_GBK"/>
          <w:szCs w:val="32"/>
        </w:rPr>
        <w:t>——加强风险感知网络建设及行业部门感知网络接入，推进危险化学品重大危险源和烟花爆竹感知数据接入，促进安全生产风险监测预警平台应用。加强自然灾害感知网络建设，建立全方位、立体化、无盲区的动态监测网络，推进森林火险火情、地震、地质、水旱和气象等自然灾害感知数据接入，促进自然灾害综合风险监测预警平台应用。加强城市安全感知网络建设，推动相关部门（住建、城管、交通、公安、电力、能源等）建设城市大型建筑、大型公共设施、地下管网及综合管廊、公共空间、轨道交通、消防重点单位、重大活动保障等感知网络建设和城市安全感知数据接入，促进城市运行安全监测平台应用。到2</w:t>
      </w:r>
      <w:r>
        <w:rPr>
          <w:rFonts w:ascii="方正仿宋_GBK" w:eastAsia="方正仿宋_GBK"/>
          <w:szCs w:val="32"/>
        </w:rPr>
        <w:t>025</w:t>
      </w:r>
      <w:r>
        <w:rPr>
          <w:rFonts w:hint="eastAsia" w:ascii="方正仿宋_GBK" w:eastAsia="方正仿宋_GBK"/>
          <w:szCs w:val="32"/>
        </w:rPr>
        <w:t>年，实现我区全行业安全生产和自然灾害风险感知网络及感知数据1</w:t>
      </w:r>
      <w:r>
        <w:rPr>
          <w:rFonts w:ascii="方正仿宋_GBK" w:eastAsia="方正仿宋_GBK"/>
          <w:szCs w:val="32"/>
        </w:rPr>
        <w:t>00</w:t>
      </w:r>
      <w:r>
        <w:rPr>
          <w:rFonts w:hint="eastAsia" w:ascii="方正仿宋_GBK" w:eastAsia="方正仿宋_GBK"/>
          <w:szCs w:val="32"/>
        </w:rPr>
        <w:t>%接入。</w:t>
      </w:r>
    </w:p>
    <w:p>
      <w:pPr>
        <w:pStyle w:val="4"/>
        <w:spacing w:line="579" w:lineRule="exact"/>
        <w:ind w:firstLine="640"/>
        <w:rPr>
          <w:rFonts w:ascii="方正仿宋_GBK" w:eastAsia="方正仿宋_GBK"/>
          <w:szCs w:val="32"/>
        </w:rPr>
      </w:pPr>
      <w:r>
        <w:rPr>
          <w:rFonts w:hint="eastAsia" w:ascii="方正仿宋_GBK" w:eastAsia="方正仿宋_GBK"/>
          <w:szCs w:val="32"/>
        </w:rPr>
        <w:t>——强化风险和隐患信息动态监测。加强监测预警基础设施建设，优化完善地震、地质、气象、洪旱、森林等自然灾害监测网站点布局，逐步完善空、天、地一体化全域覆盖的灾害监测网络。在重点行业企业推行安全生产在线监测监控系统，探索建立企业主体、政府监管、第三方服务的安全风险监测防控机制，实现风险精准化管控治理。</w:t>
      </w:r>
    </w:p>
    <w:p>
      <w:pPr>
        <w:pStyle w:val="4"/>
        <w:spacing w:line="579" w:lineRule="exact"/>
        <w:ind w:firstLine="640"/>
        <w:rPr>
          <w:rFonts w:ascii="方正仿宋_GBK" w:eastAsia="方正仿宋_GBK"/>
          <w:szCs w:val="32"/>
        </w:rPr>
      </w:pPr>
      <w:r>
        <w:rPr>
          <w:rFonts w:hint="eastAsia" w:ascii="方正仿宋_GBK" w:eastAsia="方正仿宋_GBK"/>
          <w:szCs w:val="32"/>
        </w:rPr>
        <w:t>——完善事故灾害预警和信息发布。提升预警信息发布时效性、精准度和覆盖面，提高对特定区域、特定人群的精准发布能力。地质灾害群测群防监测预警覆盖率达</w:t>
      </w:r>
      <w:r>
        <w:rPr>
          <w:rFonts w:ascii="方正仿宋_GBK" w:eastAsia="方正仿宋_GBK"/>
          <w:szCs w:val="32"/>
        </w:rPr>
        <w:t>95</w:t>
      </w:r>
      <w:r>
        <w:rPr>
          <w:rFonts w:hint="eastAsia" w:ascii="方正仿宋_GBK" w:eastAsia="方正仿宋_GBK"/>
          <w:szCs w:val="32"/>
        </w:rPr>
        <w:t>%以上，突发气象灾害监测率达到92%以上，大江大河短期水文预报准确达到95%以上，中小河流短期水文预报准确率达到85%以上，强对流天气预警时间提前40分钟，24小时晴雨和暴雨预报准确率分别提高3%以上。推动气象、地震、水利、自然资源、林业、公安、工信、住建、交通运输、文化旅游等涉灾部门制定相关灾害事件预防和应急处置风险分析研判机制，健全事故灾害信息资源获取和共享机制。</w:t>
      </w:r>
    </w:p>
    <w:p>
      <w:pPr>
        <w:pStyle w:val="6"/>
        <w:adjustRightInd w:val="0"/>
        <w:snapToGrid w:val="0"/>
        <w:spacing w:before="0" w:after="0" w:line="579" w:lineRule="exact"/>
        <w:ind w:firstLine="642" w:firstLineChars="200"/>
        <w:rPr>
          <w:rFonts w:ascii="方正仿宋_GBK" w:hAnsi="宋体" w:eastAsia="方正仿宋_GBK"/>
        </w:rPr>
      </w:pPr>
      <w:bookmarkStart w:id="56" w:name="_Toc87275331"/>
      <w:r>
        <w:rPr>
          <w:rFonts w:ascii="方正仿宋_GBK" w:hAnsi="宋体" w:eastAsia="方正仿宋_GBK"/>
        </w:rPr>
        <w:t>2</w:t>
      </w:r>
      <w:r>
        <w:rPr>
          <w:rFonts w:hint="eastAsia" w:ascii="方正仿宋_GBK" w:hAnsi="宋体" w:eastAsia="方正仿宋_GBK"/>
        </w:rPr>
        <w:t>.加强安全生产风险防范能力</w:t>
      </w:r>
      <w:bookmarkEnd w:id="56"/>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危险化学品安全。强化预防与应急并重、常态与非常态结合，加强法制建设，加强安全生产执法能力建设，进一步加强安全生产防控机制。推动装备陈旧、工艺落后、管理水平低下、不符合布局规划的危化企业改造、搬迁、关闭及转产。加强危化品重大危险源、重点危化工艺、重点监管危化品、油气输送管道高后果区安全管理。推进鱼复、水土、龙兴“三大新城”全面实施整体风险评估和“一园一策”整改。建立危化品运输信息共享平台，加强危化品运输车辆管理。实行废弃危险化学品产生单位、运输单位、处置单位清单化管理，完善废弃危险化学品收、运、处体系。对工贸企业涉及危险化学品的工艺设备、储存设施开展安全评估，整治无正规设计、安全设施不完善以及危化品超量、超范围储存等突出问题。强化危化品违规生产、储存、成品油非法经营及非法违法小化工等重点环节、领域的“打非”工作。</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消防安全。落实消防安全责任制，全面推行专家检查制度，发挥消防安全管理“杠杆”作用，创新群众工作方法。实施消防“生命通道”打通工程，针对电动汽车、电动自行车等新材料，优化落实火灾风险防控措施。强化高层建筑、“九小场所”、大型商业综合体、轨道交通、地下工程、石油化工等重点场所火灾隐患治理和消防安全能力。将老旧小区、家庭生产加工作坊、电动车、彩钢板建筑、“三合一”场所、物流仓储火灾等消防风险治理列入实事工程、民生工程。加强火灾防控科技应用，整合、构建、深度运用消防安全数据库，加强火灾风险分析研判、监测预警，精准治理高风险区域场所。</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道路运输安全。严格落实客货车产品生产准入、一致性监管，依法淘汰隐患问题车辆，分步实施800公里以上道路班线客运退出客运市场或者转为包车客运。严格治理货车非法改装、“大吨小标”、常压液体危险货物不合规罐车、非法夹带运输等违法违规行为。推动在用“两客一危”车辆和公交客运车辆安装使用智能视频监控系统。整治“百吨王”，理顺信息传递层级，畅通信息传递渠道，严格落实治超“一超四罚”措施。</w:t>
      </w:r>
    </w:p>
    <w:p>
      <w:pPr>
        <w:pStyle w:val="20"/>
        <w:spacing w:after="0" w:line="579" w:lineRule="exact"/>
        <w:ind w:firstLine="640" w:firstLineChars="200"/>
        <w:rPr>
          <w:rFonts w:ascii="方正仿宋_GBK" w:eastAsia="方正仿宋_GBK"/>
          <w:color w:val="FF0000"/>
          <w:szCs w:val="32"/>
        </w:rPr>
      </w:pPr>
      <w:r>
        <w:rPr>
          <w:rFonts w:hint="eastAsia" w:ascii="方正仿宋_GBK" w:eastAsia="方正仿宋_GBK"/>
          <w:szCs w:val="32"/>
        </w:rPr>
        <w:t>——其他交通运输安全。加快临水临崖、连续长陡下坡、急弯陡坡、平交路口等重点路段和危桥改造整治，加强城市隧道桥梁隐患排查治理和内环快速路综合整治。强化可控飞行撞地、跑道安全、空中相撞、危险品运输等重点风险治理，深化机场净空保护、鸟击防范等安全专项整治，加强无人机管控。开展铁路危险货物运输安全专项整治，加强“四类重点船舶”、地方水域安全监管，开展船舶港口的风险分级管控和隐患排查治理。开展航运枢纽大坝除险加固专项行动。加强综合交通枢纽和城市轨道交通运营管理，健全综合交通枢纽安全监管协调沟通工作机制。开展城市轨道交通保护区专项整治，严厉打击违规施工作业、私搭乱建、堆放易燃易爆危险品等危及城市轨道交通运营安全的行为。全面实施渔业船舶安全生产责任保险。</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建设施工安全。严格执行建设工程建设用地地质灾害危险性评估制度。全面排查利用原有建筑物改建改用为酒店、饭店、学校、体育馆等人员聚集场所安全隐患，依法查处违法建设、违规改变建筑主体结构或使用功能等造成安全隐患行为，落实建筑物所有权人主体责任。强化因工程建设导致城市道路塌陷事故隐患治理等安全管理工作。强化施工现场安全管理，督促企业对临边、洞口、攀登、悬空和交叉作业部位等区域实施重点防护。完善建筑施工安全监管信息系统，推动智慧工地建设，实施建设施工全生命周期管理。加大安全生产许可证动态核查等制度措施落地力度。严格查处建设施工领域安全生产突出违法行为。加强危房改造施工安全管理。到2025年，建筑施工生产安全事故死亡人数累计下降9%。</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工贸安全。对粉尘涉爆、铝加工（深井铸造）、钢铁等三类重点企业开展专项执法行动，对重大事故隐患实施定期调度、“销号管理”。对使用具有燃、爆、毒等理化性质的危险化学品工贸企业开展专项整治，聚焦重大安全风险、重大安全隐患和突出违法行为进行重点打击。持续开展粉尘涉爆、高温熔融、涉氨制冷和有限空间作业的“四涉一有限”专项整治。坚持完善标准化评审和执法检查“二合一”，建立完善以风险分级管控和隐患排查治理为重点的安全预防控制体系，分类分级推进企业达标、专业达标、岗位达标，提高企业风险管控能力。开展园区外分散企业“搬、改、关”专项治理。</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危险废物安全。建立生态环境、应急管理、公安、交通等部门联动、区域协作、重大案件会商督办制度，形成覆盖危险废物产生、收集、贮存、转移、运输、利用、处置等全过程的监管体系，加大打击故意隐瞒、偷放偷排或违法违规处置危险废物违法犯罪行为力度。重点整治化工园区、化工企业、危险化学品单位等可能存在的违规堆存、随意倾倒、私自填埋危险废物等问题。危险废物产生单位应设置符合要求的危险废物贮存设施，鼓励危险废物产生量大的企业和化工园区配套建设危险废物处置设施。</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城市运行安全。开展以市政公用设施、地下基础设施、老旧人防工程、城市公共空间等为重点的城市公共设施安全专项体检。加强城市道路桥梁隧道、城市地下管线、城镇燃气、醇基液体燃料、成品油、城市排水、生活垃圾填埋场及渣土受纳场、城市照明及户外广告设施、人防工程等城市敏感点安全风险辨识、评估、管控。推进城市综合管理各类平台建设，实现联动互通、信息共享，加强城市运行风险监测预警和应急响应、应对处置。依法打击城市违法建设、损坏公共设施、侵占公共空间、渣土车辆违法运输倾倒等行为。</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特种设备安全。持续推动油气管道和城镇燃气管道隐患整治，严格落实油气管道和城镇燃气管道法定检验制度。以“互联网+”等信息化为手段，建设智慧特种设备安全管理系统，发挥电梯“96333”应急处置平台运行效能，推动电梯物联网技术落地，推进气瓶质量追溯系统建设，用好国家企业信用公示系统和我市特种设备信息一体化平台，构建信用监管长效机制，加强对违法行为的联合惩戒。建立完善电梯、大型游乐设施等特种设备标准规范。扎实推进电梯按需维保新模式。</w:t>
      </w:r>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园区安全。严格新区鱼复、水土、龙兴“三大新城”的进园入园项目准入，开展园区建设项目区域整体安全评价，完善园区安全保障设施。开展园区整体性安全风险评估，高风险化工园区严禁新建、扩建危险化学品建设项目，严控改建危险化学品建设项目。生产、使用有毒气体且构成重大危险源的园区配套建设气防站。危险化学品道路运输量较大的工业园区、物流仓储园区配套建设具有洗车、维修等功能的专用停车场，危险废物量较大的化工园区应布点建设危险废物集中处置企业。有序推进园区一体化、封闭化管理。加快智慧园区建设，建成园区集约化可视化安全监管信息共享平台。</w:t>
      </w:r>
    </w:p>
    <w:p>
      <w:pPr>
        <w:pStyle w:val="6"/>
        <w:adjustRightInd w:val="0"/>
        <w:snapToGrid w:val="0"/>
        <w:spacing w:before="0" w:after="0" w:line="579" w:lineRule="exact"/>
        <w:ind w:firstLine="642" w:firstLineChars="200"/>
        <w:rPr>
          <w:rFonts w:ascii="方正仿宋_GBK" w:hAnsi="宋体" w:eastAsia="方正仿宋_GBK"/>
        </w:rPr>
      </w:pPr>
      <w:bookmarkStart w:id="57" w:name="_Toc87275332"/>
      <w:r>
        <w:rPr>
          <w:rFonts w:ascii="方正仿宋_GBK" w:hAnsi="宋体" w:eastAsia="方正仿宋_GBK"/>
        </w:rPr>
        <w:t>3</w:t>
      </w:r>
      <w:r>
        <w:rPr>
          <w:rFonts w:hint="eastAsia" w:ascii="方正仿宋_GBK" w:hAnsi="宋体" w:eastAsia="方正仿宋_GBK"/>
        </w:rPr>
        <w:t>.加强自然灾害综合风险防治能力</w:t>
      </w:r>
      <w:bookmarkEnd w:id="57"/>
    </w:p>
    <w:p>
      <w:pPr>
        <w:pStyle w:val="4"/>
        <w:spacing w:line="579" w:lineRule="exact"/>
        <w:ind w:firstLine="640"/>
        <w:rPr>
          <w:rFonts w:ascii="方正仿宋_GBK" w:eastAsia="方正仿宋_GBK"/>
          <w:szCs w:val="32"/>
        </w:rPr>
      </w:pPr>
      <w:r>
        <w:rPr>
          <w:rFonts w:hint="eastAsia" w:ascii="方正仿宋_GBK" w:eastAsia="方正仿宋_GBK"/>
          <w:szCs w:val="32"/>
        </w:rPr>
        <w:t>——洪旱灾害防治。</w:t>
      </w:r>
      <w:r>
        <w:rPr>
          <w:rFonts w:ascii="方正仿宋_GBK" w:eastAsia="方正仿宋_GBK"/>
          <w:szCs w:val="32"/>
        </w:rPr>
        <w:t>强化大中型水库、重点城镇、</w:t>
      </w:r>
      <w:r>
        <w:rPr>
          <w:rFonts w:hint="eastAsia" w:ascii="方正仿宋_GBK" w:eastAsia="方正仿宋_GBK"/>
          <w:szCs w:val="32"/>
        </w:rPr>
        <w:t>重点区域等行政、技术、巡查“三个责任人”制度，继续实施责任人公示制度。加快防洪抗旱重大枢纽工程建设，加强中小河流治理、病险水库和病险水闸除险加固、山洪灾害治理、防洪排涝治理。</w:t>
      </w:r>
    </w:p>
    <w:p>
      <w:pPr>
        <w:pStyle w:val="4"/>
        <w:spacing w:line="579" w:lineRule="exact"/>
        <w:ind w:firstLine="640"/>
        <w:rPr>
          <w:rFonts w:ascii="方正仿宋_GBK" w:eastAsia="方正仿宋_GBK"/>
          <w:szCs w:val="32"/>
        </w:rPr>
      </w:pPr>
      <w:r>
        <w:rPr>
          <w:rFonts w:hint="eastAsia" w:ascii="方正仿宋_GBK" w:eastAsia="方正仿宋_GBK"/>
          <w:szCs w:val="32"/>
        </w:rPr>
        <w:t>——地质地震灾害防治。全面推行地质灾害应急管理隐患排查、监测预警、避险撤离、工程治理、应急响应、应急处置、调查评估规范化建设。</w:t>
      </w:r>
      <w:r>
        <w:rPr>
          <w:rFonts w:ascii="方正仿宋_GBK" w:eastAsia="方正仿宋_GBK"/>
          <w:szCs w:val="32"/>
        </w:rPr>
        <w:t>落实基层地质灾害监测责任和防灾责任，将监测、处置和防治责任落实到</w:t>
      </w:r>
      <w:r>
        <w:rPr>
          <w:rFonts w:hint="eastAsia" w:ascii="方正仿宋_GBK" w:eastAsia="方正仿宋_GBK"/>
          <w:szCs w:val="32"/>
        </w:rPr>
        <w:t>街道、居委会、居民小组和企事业单位</w:t>
      </w:r>
      <w:r>
        <w:rPr>
          <w:rFonts w:ascii="方正仿宋_GBK" w:eastAsia="方正仿宋_GBK"/>
          <w:szCs w:val="32"/>
        </w:rPr>
        <w:t>，严格按照</w:t>
      </w:r>
      <w:r>
        <w:rPr>
          <w:rFonts w:hint="eastAsia" w:ascii="方正仿宋_GBK" w:eastAsia="方正仿宋_GBK"/>
          <w:szCs w:val="32"/>
        </w:rPr>
        <w:t>“群测群防员、片区负责人、驻守地质队员、区县技术管理员”四重网格</w:t>
      </w:r>
      <w:r>
        <w:rPr>
          <w:rFonts w:ascii="方正仿宋_GBK" w:eastAsia="方正仿宋_GBK"/>
          <w:szCs w:val="32"/>
        </w:rPr>
        <w:t>工作要求落实巡查排查、监测预警等工作</w:t>
      </w:r>
      <w:r>
        <w:rPr>
          <w:rFonts w:hint="eastAsia" w:ascii="方正仿宋_GBK" w:eastAsia="方正仿宋_GBK"/>
          <w:szCs w:val="32"/>
        </w:rPr>
        <w:t>。实施地质灾害智能化监测预警项目建设。加强重点地区和地震活断层探测，加快实施地震易发区房屋设施抗震加固工程，提高房屋设施的抗震设防能力。</w:t>
      </w:r>
    </w:p>
    <w:p>
      <w:pPr>
        <w:pStyle w:val="4"/>
        <w:spacing w:line="579" w:lineRule="exact"/>
        <w:ind w:firstLine="640"/>
        <w:rPr>
          <w:rFonts w:ascii="方正仿宋_GBK" w:eastAsia="方正仿宋_GBK"/>
          <w:szCs w:val="32"/>
        </w:rPr>
      </w:pPr>
      <w:r>
        <w:rPr>
          <w:rFonts w:hint="eastAsia" w:ascii="方正仿宋_GBK" w:eastAsia="方正仿宋_GBK"/>
          <w:szCs w:val="32"/>
        </w:rPr>
        <w:t>——森林火灾防治。进一步完善森林火灾预防、扑救、保障三大体系，</w:t>
      </w:r>
      <w:r>
        <w:rPr>
          <w:rFonts w:ascii="方正仿宋_GBK" w:eastAsia="方正仿宋_GBK"/>
          <w:szCs w:val="32"/>
        </w:rPr>
        <w:t>落实区县、</w:t>
      </w:r>
      <w:r>
        <w:rPr>
          <w:rFonts w:hint="eastAsia" w:ascii="方正仿宋_GBK" w:eastAsia="方正仿宋_GBK"/>
          <w:szCs w:val="32"/>
        </w:rPr>
        <w:t>街道</w:t>
      </w:r>
      <w:r>
        <w:rPr>
          <w:rFonts w:ascii="方正仿宋_GBK" w:eastAsia="方正仿宋_GBK"/>
          <w:szCs w:val="32"/>
        </w:rPr>
        <w:t>森林防火行政首长负责制和属地管理责任</w:t>
      </w:r>
      <w:r>
        <w:rPr>
          <w:rFonts w:hint="eastAsia" w:ascii="方正仿宋_GBK" w:eastAsia="方正仿宋_GBK"/>
          <w:szCs w:val="32"/>
        </w:rPr>
        <w:t>。</w:t>
      </w:r>
      <w:r>
        <w:rPr>
          <w:rFonts w:ascii="方正仿宋_GBK" w:eastAsia="方正仿宋_GBK"/>
          <w:szCs w:val="32"/>
        </w:rPr>
        <w:t>严格执行野外用火审批制度，加大旅游地区、农林结合部的火源管控力度</w:t>
      </w:r>
      <w:r>
        <w:rPr>
          <w:rFonts w:hint="eastAsia" w:ascii="方正仿宋_GBK" w:eastAsia="方正仿宋_GBK"/>
          <w:szCs w:val="32"/>
        </w:rPr>
        <w:t>，</w:t>
      </w:r>
      <w:r>
        <w:rPr>
          <w:rFonts w:ascii="方正仿宋_GBK" w:eastAsia="方正仿宋_GBK"/>
          <w:szCs w:val="32"/>
        </w:rPr>
        <w:t>认真落实松材线虫疫木焚烧</w:t>
      </w:r>
      <w:r>
        <w:rPr>
          <w:rFonts w:hint="eastAsia" w:ascii="方正仿宋_GBK" w:eastAsia="方正仿宋_GBK"/>
          <w:szCs w:val="32"/>
        </w:rPr>
        <w:t>规定。每年</w:t>
      </w:r>
      <w:r>
        <w:rPr>
          <w:rFonts w:ascii="方正仿宋_GBK" w:eastAsia="方正仿宋_GBK"/>
          <w:szCs w:val="32"/>
        </w:rPr>
        <w:t>至少开展</w:t>
      </w:r>
      <w:r>
        <w:rPr>
          <w:rFonts w:hint="eastAsia" w:ascii="方正仿宋_GBK" w:eastAsia="方正仿宋_GBK"/>
          <w:szCs w:val="32"/>
        </w:rPr>
        <w:t>1</w:t>
      </w:r>
      <w:r>
        <w:rPr>
          <w:rFonts w:ascii="方正仿宋_GBK" w:eastAsia="方正仿宋_GBK"/>
          <w:szCs w:val="32"/>
        </w:rPr>
        <w:t>次森林火灾风险隐患排查整治</w:t>
      </w:r>
      <w:r>
        <w:rPr>
          <w:rFonts w:hint="eastAsia" w:ascii="方正仿宋_GBK" w:eastAsia="方正仿宋_GBK"/>
          <w:szCs w:val="32"/>
        </w:rPr>
        <w:t>，加强重点时段</w:t>
      </w:r>
      <w:r>
        <w:rPr>
          <w:rFonts w:ascii="方正仿宋_GBK" w:eastAsia="方正仿宋_GBK"/>
          <w:szCs w:val="32"/>
        </w:rPr>
        <w:t>森林火灾督导检查</w:t>
      </w:r>
      <w:r>
        <w:rPr>
          <w:rFonts w:hint="eastAsia" w:ascii="方正仿宋_GBK" w:eastAsia="方正仿宋_GBK"/>
          <w:szCs w:val="32"/>
        </w:rPr>
        <w:t>。全区24小时森林火灾扑灭率达到95%以上，推动我市森林火灾受害率整体稳定控制在0.3‰以内。</w:t>
      </w:r>
    </w:p>
    <w:p>
      <w:pPr>
        <w:pStyle w:val="4"/>
        <w:spacing w:line="579" w:lineRule="exact"/>
        <w:ind w:firstLine="640"/>
        <w:rPr>
          <w:rFonts w:ascii="方正仿宋_GBK" w:eastAsia="方正仿宋_GBK"/>
          <w:szCs w:val="32"/>
        </w:rPr>
      </w:pPr>
      <w:r>
        <w:rPr>
          <w:rFonts w:hint="eastAsia" w:ascii="方正仿宋_GBK" w:eastAsia="方正仿宋_GBK"/>
          <w:szCs w:val="32"/>
        </w:rPr>
        <w:t>——气象灾害防治。开展气象灾害风险普查，建设基于大数据的气象灾害风险管理平台，提升风险管理能力。建立重大气象灾害预警信息紧急快速发布“绿色通道”，实现气象灾害高风险区预警信息到户到人。完善广播电视、网络媒体等全媒体准确及时无偿向社会传播气象灾害预警信息机制。提升气象监测精密、预报精准、服务精细能力，充分发挥气象防灾减灾第一道防线作用。</w:t>
      </w:r>
    </w:p>
    <w:p>
      <w:pPr>
        <w:pStyle w:val="6"/>
        <w:adjustRightInd w:val="0"/>
        <w:snapToGrid w:val="0"/>
        <w:spacing w:before="0" w:after="0" w:line="579" w:lineRule="exact"/>
        <w:ind w:firstLine="642" w:firstLineChars="200"/>
        <w:rPr>
          <w:rFonts w:ascii="方正仿宋_GBK" w:hAnsi="宋体" w:eastAsia="方正仿宋_GBK"/>
        </w:rPr>
      </w:pPr>
      <w:bookmarkStart w:id="58" w:name="_Toc87275333"/>
      <w:r>
        <w:rPr>
          <w:rFonts w:ascii="方正仿宋_GBK" w:hAnsi="宋体" w:eastAsia="方正仿宋_GBK"/>
        </w:rPr>
        <w:t>4</w:t>
      </w:r>
      <w:r>
        <w:rPr>
          <w:rFonts w:hint="eastAsia" w:ascii="方正仿宋_GBK" w:hAnsi="宋体" w:eastAsia="方正仿宋_GBK"/>
        </w:rPr>
        <w:t>.推进防灾减灾基础工程建设</w:t>
      </w:r>
      <w:bookmarkEnd w:id="58"/>
    </w:p>
    <w:p>
      <w:pPr>
        <w:pStyle w:val="4"/>
        <w:spacing w:line="579" w:lineRule="exact"/>
        <w:ind w:firstLine="640"/>
        <w:rPr>
          <w:rFonts w:ascii="方正仿宋_GBK" w:eastAsia="方正仿宋_GBK"/>
          <w:szCs w:val="32"/>
        </w:rPr>
      </w:pPr>
      <w:r>
        <w:rPr>
          <w:rFonts w:hint="eastAsia" w:ascii="方正仿宋_GBK" w:eastAsia="方正仿宋_GBK"/>
          <w:szCs w:val="32"/>
        </w:rPr>
        <w:t>系统布局防洪减灾设施，统筹推进城市堤防、排水管渠、排涝除险、蓄水空间等设施建设，有效治理城市洪涝问题。加强地震安全保障，继续实施民居地震安全工程。推进森林火险预警平台建设，加强森林防火检查站、森林消防水池、防火阻隔系统等基础设施建设。推动应急避难场所提级扩能。</w:t>
      </w:r>
    </w:p>
    <w:p>
      <w:pPr>
        <w:pStyle w:val="6"/>
        <w:adjustRightInd w:val="0"/>
        <w:snapToGrid w:val="0"/>
        <w:spacing w:before="0" w:after="0" w:line="579" w:lineRule="exact"/>
        <w:ind w:firstLine="642" w:firstLineChars="200"/>
        <w:rPr>
          <w:rFonts w:ascii="方正仿宋_GBK" w:hAnsi="宋体" w:eastAsia="方正仿宋_GBK"/>
        </w:rPr>
      </w:pPr>
      <w:bookmarkStart w:id="59" w:name="_Toc75618778"/>
      <w:bookmarkStart w:id="60" w:name="_Toc87275334"/>
      <w:r>
        <w:rPr>
          <w:rFonts w:ascii="方正仿宋_GBK" w:hAnsi="宋体" w:eastAsia="方正仿宋_GBK"/>
        </w:rPr>
        <w:t>5.</w:t>
      </w:r>
      <w:r>
        <w:rPr>
          <w:rFonts w:hint="eastAsia" w:ascii="方正仿宋_GBK" w:hAnsi="宋体" w:eastAsia="方正仿宋_GBK"/>
        </w:rPr>
        <w:t>加强灾害恢复重建能力</w:t>
      </w:r>
      <w:bookmarkEnd w:id="59"/>
      <w:bookmarkEnd w:id="60"/>
    </w:p>
    <w:p>
      <w:pPr>
        <w:pStyle w:val="4"/>
        <w:spacing w:line="579" w:lineRule="exact"/>
        <w:ind w:firstLine="640"/>
        <w:rPr>
          <w:rFonts w:ascii="方正仿宋_GBK" w:eastAsia="方正仿宋_GBK"/>
          <w:szCs w:val="32"/>
        </w:rPr>
      </w:pPr>
      <w:r>
        <w:rPr>
          <w:rFonts w:hint="eastAsia" w:ascii="方正仿宋_GBK" w:eastAsia="方正仿宋_GBK"/>
          <w:szCs w:val="32"/>
        </w:rPr>
        <w:t>推动灾情信息管理，做好灾情报告、核查、评估工作。制定落实完善灾区扶持政策，加快损毁工程修复，推进灾区重建工作，采取措施防止发生次生、衍生事件。及时开展受灾人员基本生活救助、补偿、抚慰、抚恤、安置等工作，全力做好饮用水、粮油、蔬菜、电力、运输等保障，尽快恢复经济社会秩序。</w:t>
      </w:r>
    </w:p>
    <w:p>
      <w:pPr>
        <w:pStyle w:val="6"/>
        <w:adjustRightInd w:val="0"/>
        <w:snapToGrid w:val="0"/>
        <w:spacing w:before="0" w:after="0" w:line="579" w:lineRule="exact"/>
        <w:ind w:firstLine="642" w:firstLineChars="200"/>
        <w:rPr>
          <w:rFonts w:ascii="方正仿宋_GBK" w:hAnsi="宋体" w:eastAsia="方正仿宋_GBK"/>
        </w:rPr>
      </w:pPr>
      <w:bookmarkStart w:id="61" w:name="_Toc87275335"/>
      <w:r>
        <w:rPr>
          <w:rFonts w:hint="eastAsia" w:ascii="方正仿宋_GBK" w:hAnsi="宋体" w:eastAsia="方正仿宋_GBK"/>
        </w:rPr>
        <w:t>6</w:t>
      </w:r>
      <w:r>
        <w:rPr>
          <w:rFonts w:ascii="方正仿宋_GBK" w:hAnsi="宋体" w:eastAsia="方正仿宋_GBK"/>
        </w:rPr>
        <w:t>.</w:t>
      </w:r>
      <w:r>
        <w:rPr>
          <w:rFonts w:hint="eastAsia" w:ascii="方正仿宋_GBK" w:hAnsi="宋体" w:eastAsia="方正仿宋_GBK"/>
        </w:rPr>
        <w:t>发挥市场机制防灾减灾作用</w:t>
      </w:r>
      <w:bookmarkEnd w:id="61"/>
    </w:p>
    <w:p>
      <w:pPr>
        <w:pStyle w:val="4"/>
        <w:spacing w:line="579" w:lineRule="exact"/>
        <w:ind w:firstLine="640"/>
        <w:rPr>
          <w:szCs w:val="32"/>
        </w:rPr>
      </w:pPr>
      <w:r>
        <w:rPr>
          <w:rFonts w:hint="eastAsia" w:ascii="方正仿宋_GBK" w:eastAsia="方正仿宋_GBK"/>
          <w:szCs w:val="32"/>
        </w:rPr>
        <w:t>发挥保险等市场机制作用，鼓励保险公司开发各类涉灾商业型险种，鼓励企业和个人积极投保，不断扩大涉灾保险覆盖面。鼓励企业设立储备、产业、商业等应急恢复（互助）基金，提高企业社会参与度。</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62" w:name="_Toc75618157"/>
      <w:bookmarkStart w:id="63" w:name="_Toc87275336"/>
      <w:r>
        <w:rPr>
          <w:rFonts w:hint="eastAsia" w:ascii="方正楷体_GBK" w:hAnsi="Times New Roman" w:eastAsia="方正楷体_GBK"/>
          <w:b w:val="0"/>
          <w:bCs/>
          <w:sz w:val="32"/>
          <w:szCs w:val="32"/>
        </w:rPr>
        <w:t>（三）提升应急救援队伍能力建设</w:t>
      </w:r>
      <w:bookmarkEnd w:id="62"/>
      <w:bookmarkEnd w:id="63"/>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按照“加强资源整合，推动军民融合，强化基层力量，完善运行机制，提升战斗能力”思路，根据坚持素质建队、坚持科技强队、坚持规范治队、坚持文化塑队的原则，按照重庆市四级综合应急救援队伍整体建设要求，增强我区各类应急救援队伍能力建设，明确救援人员配置及装备配备的标准，加强高科技含量的装备配置，强化队伍联合联动训练，健全快速调动机制，提高队伍协同应急作战能力。</w:t>
      </w:r>
    </w:p>
    <w:p>
      <w:pPr>
        <w:pStyle w:val="6"/>
        <w:adjustRightInd w:val="0"/>
        <w:snapToGrid w:val="0"/>
        <w:spacing w:before="0" w:after="0" w:line="579" w:lineRule="exact"/>
        <w:ind w:firstLine="642" w:firstLineChars="200"/>
        <w:rPr>
          <w:rFonts w:ascii="方正仿宋_GBK" w:hAnsi="宋体" w:eastAsia="方正仿宋_GBK"/>
        </w:rPr>
      </w:pPr>
      <w:bookmarkStart w:id="64" w:name="_Toc87275337"/>
      <w:r>
        <w:rPr>
          <w:rFonts w:ascii="方正仿宋_GBK" w:hAnsi="宋体" w:eastAsia="方正仿宋_GBK"/>
        </w:rPr>
        <w:t>1</w:t>
      </w:r>
      <w:r>
        <w:rPr>
          <w:rFonts w:hint="eastAsia" w:ascii="方正仿宋_GBK" w:hAnsi="宋体" w:eastAsia="方正仿宋_GBK"/>
        </w:rPr>
        <w:t>.加强应急救援队伍的统一规划、标准、投入</w:t>
      </w:r>
      <w:bookmarkEnd w:id="64"/>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统筹规划我区应急救援队伍的种类、数量、层次、布局等，制定各级各类救援队伍建设标准及管理办法，保障人员、装备、资金等方面的持续稳定投入。</w:t>
      </w:r>
    </w:p>
    <w:p>
      <w:pPr>
        <w:pStyle w:val="6"/>
        <w:adjustRightInd w:val="0"/>
        <w:snapToGrid w:val="0"/>
        <w:spacing w:before="0" w:after="0" w:line="579" w:lineRule="exact"/>
        <w:ind w:firstLine="642" w:firstLineChars="200"/>
        <w:rPr>
          <w:rFonts w:ascii="方正仿宋_GBK" w:hAnsi="宋体" w:eastAsia="方正仿宋_GBK"/>
        </w:rPr>
      </w:pPr>
      <w:bookmarkStart w:id="65" w:name="_Toc87275338"/>
      <w:r>
        <w:rPr>
          <w:rFonts w:hint="eastAsia" w:ascii="方正仿宋_GBK" w:hAnsi="宋体" w:eastAsia="方正仿宋_GBK"/>
        </w:rPr>
        <w:t>2.加强综合性应急救援队伍能力建设</w:t>
      </w:r>
      <w:bookmarkEnd w:id="65"/>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推动军民融合，加强同公安、消防、武警、军队等骨干和突击力量的联动机制和预案体系建设，加强统一管理、统一指挥、科学救援、协同联动、信息共享。</w:t>
      </w:r>
      <w:r>
        <w:rPr>
          <w:rFonts w:ascii="方正仿宋_GBK" w:hAnsi="Times New Roman" w:eastAsia="方正仿宋_GBK"/>
          <w:sz w:val="32"/>
          <w:szCs w:val="32"/>
        </w:rPr>
        <w:t>全面提升综合性消防救援队伍的正规化、专业化、职业化水平</w:t>
      </w:r>
      <w:r>
        <w:rPr>
          <w:rFonts w:hint="eastAsia" w:ascii="方正仿宋_GBK" w:hAnsi="Times New Roman" w:eastAsia="方正仿宋_GBK"/>
          <w:sz w:val="32"/>
          <w:szCs w:val="32"/>
        </w:rPr>
        <w:t>。</w:t>
      </w:r>
      <w:r>
        <w:rPr>
          <w:rFonts w:ascii="方正仿宋_GBK" w:hAnsi="Times New Roman" w:eastAsia="方正仿宋_GBK"/>
          <w:sz w:val="32"/>
          <w:szCs w:val="32"/>
        </w:rPr>
        <w:t>加强军地沟通协调</w:t>
      </w:r>
      <w:r>
        <w:rPr>
          <w:rFonts w:hint="eastAsia" w:ascii="方正仿宋_GBK" w:hAnsi="Times New Roman" w:eastAsia="方正仿宋_GBK"/>
          <w:sz w:val="32"/>
          <w:szCs w:val="32"/>
        </w:rPr>
        <w:t>，</w:t>
      </w:r>
      <w:r>
        <w:rPr>
          <w:rFonts w:ascii="方正仿宋_GBK" w:hAnsi="Times New Roman" w:eastAsia="方正仿宋_GBK"/>
          <w:sz w:val="32"/>
          <w:szCs w:val="32"/>
        </w:rPr>
        <w:t>支持民兵应急力量装备建设</w:t>
      </w:r>
      <w:r>
        <w:rPr>
          <w:rFonts w:hint="eastAsia" w:ascii="方正仿宋_GBK" w:hAnsi="Times New Roman" w:eastAsia="方正仿宋_GBK"/>
          <w:sz w:val="32"/>
          <w:szCs w:val="32"/>
        </w:rPr>
        <w:t>，</w:t>
      </w:r>
      <w:r>
        <w:rPr>
          <w:rFonts w:ascii="方正仿宋_GBK" w:hAnsi="Times New Roman" w:eastAsia="方正仿宋_GBK"/>
          <w:sz w:val="32"/>
          <w:szCs w:val="32"/>
        </w:rPr>
        <w:t>多措并举提高民兵应急力量抢险救援能力</w:t>
      </w:r>
      <w:r>
        <w:rPr>
          <w:rFonts w:hint="eastAsia" w:ascii="方正仿宋_GBK" w:hAnsi="Times New Roman" w:eastAsia="方正仿宋_GBK"/>
          <w:sz w:val="32"/>
          <w:szCs w:val="32"/>
        </w:rPr>
        <w:t>。</w:t>
      </w:r>
      <w:r>
        <w:rPr>
          <w:rFonts w:ascii="方正仿宋_GBK" w:hAnsi="Times New Roman" w:eastAsia="方正仿宋_GBK"/>
          <w:sz w:val="32"/>
          <w:szCs w:val="32"/>
        </w:rPr>
        <w:t>完善综合应急救援队伍装备配备指导目录，加强队伍先进适用装备配备</w:t>
      </w:r>
      <w:r>
        <w:rPr>
          <w:rFonts w:hint="eastAsia" w:ascii="方正仿宋_GBK" w:hAnsi="Times New Roman" w:eastAsia="方正仿宋_GBK"/>
          <w:sz w:val="32"/>
          <w:szCs w:val="32"/>
        </w:rPr>
        <w:t>。</w:t>
      </w:r>
      <w:r>
        <w:rPr>
          <w:rFonts w:ascii="方正仿宋_GBK" w:hAnsi="Times New Roman" w:eastAsia="方正仿宋_GBK"/>
          <w:sz w:val="32"/>
          <w:szCs w:val="32"/>
        </w:rPr>
        <w:t>强化多灾种专业化训练，提高极端条件下综合救援能力</w:t>
      </w:r>
      <w:r>
        <w:rPr>
          <w:rFonts w:hint="eastAsia" w:ascii="方正仿宋_GBK" w:hAnsi="Times New Roman" w:eastAsia="方正仿宋_GBK"/>
          <w:sz w:val="32"/>
          <w:szCs w:val="32"/>
        </w:rPr>
        <w:t>。</w:t>
      </w:r>
      <w:r>
        <w:rPr>
          <w:rFonts w:ascii="方正仿宋_GBK" w:hAnsi="Times New Roman" w:eastAsia="方正仿宋_GBK"/>
          <w:sz w:val="32"/>
          <w:szCs w:val="32"/>
        </w:rPr>
        <w:t>进一步优化整合各类应急救援力量，组建</w:t>
      </w:r>
      <w:r>
        <w:rPr>
          <w:rFonts w:hint="eastAsia" w:ascii="方正仿宋_GBK" w:hAnsi="Times New Roman" w:eastAsia="方正仿宋_GBK"/>
          <w:sz w:val="32"/>
          <w:szCs w:val="32"/>
        </w:rPr>
        <w:t>区级、</w:t>
      </w:r>
      <w:r>
        <w:rPr>
          <w:rFonts w:ascii="方正仿宋_GBK" w:hAnsi="Times New Roman" w:eastAsia="方正仿宋_GBK"/>
          <w:sz w:val="32"/>
          <w:szCs w:val="32"/>
        </w:rPr>
        <w:t>街道综合应急救援队伍</w:t>
      </w:r>
      <w:r>
        <w:rPr>
          <w:rFonts w:hint="eastAsia" w:ascii="方正仿宋_GBK" w:hAnsi="Times New Roman" w:eastAsia="方正仿宋_GBK"/>
          <w:sz w:val="32"/>
          <w:szCs w:val="32"/>
        </w:rPr>
        <w:t>，完善</w:t>
      </w:r>
      <w:r>
        <w:rPr>
          <w:rFonts w:ascii="方正仿宋_GBK" w:hAnsi="Times New Roman" w:eastAsia="方正仿宋_GBK"/>
          <w:sz w:val="32"/>
          <w:szCs w:val="32"/>
        </w:rPr>
        <w:t>区</w:t>
      </w:r>
      <w:r>
        <w:rPr>
          <w:rFonts w:hint="eastAsia" w:ascii="方正仿宋_GBK" w:hAnsi="Times New Roman" w:eastAsia="方正仿宋_GBK"/>
          <w:sz w:val="32"/>
          <w:szCs w:val="32"/>
        </w:rPr>
        <w:t>级</w:t>
      </w:r>
      <w:r>
        <w:rPr>
          <w:rFonts w:ascii="方正仿宋_GBK" w:hAnsi="Times New Roman" w:eastAsia="方正仿宋_GBK"/>
          <w:sz w:val="32"/>
          <w:szCs w:val="32"/>
        </w:rPr>
        <w:t>、街道综合应急救援队伍双重领导管理体制</w:t>
      </w:r>
      <w:r>
        <w:rPr>
          <w:rFonts w:hint="eastAsia" w:ascii="方正仿宋_GBK" w:hAnsi="Times New Roman" w:eastAsia="方正仿宋_GBK"/>
          <w:sz w:val="32"/>
          <w:szCs w:val="32"/>
        </w:rPr>
        <w:t>。</w:t>
      </w:r>
    </w:p>
    <w:p>
      <w:pPr>
        <w:pStyle w:val="6"/>
        <w:adjustRightInd w:val="0"/>
        <w:snapToGrid w:val="0"/>
        <w:spacing w:before="0" w:after="0" w:line="579" w:lineRule="exact"/>
        <w:ind w:firstLine="642" w:firstLineChars="200"/>
        <w:rPr>
          <w:rFonts w:ascii="方正仿宋_GBK" w:hAnsi="宋体" w:eastAsia="方正仿宋_GBK"/>
        </w:rPr>
      </w:pPr>
      <w:bookmarkStart w:id="66" w:name="_Toc87275339"/>
      <w:r>
        <w:rPr>
          <w:rFonts w:ascii="方正仿宋_GBK" w:hAnsi="宋体" w:eastAsia="方正仿宋_GBK"/>
        </w:rPr>
        <w:t>3</w:t>
      </w:r>
      <w:r>
        <w:rPr>
          <w:rFonts w:hint="eastAsia" w:ascii="方正仿宋_GBK" w:hAnsi="宋体" w:eastAsia="方正仿宋_GBK"/>
        </w:rPr>
        <w:t>.加强专业性应急救援队伍能力建设</w:t>
      </w:r>
      <w:bookmarkEnd w:id="66"/>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优化队伍布局，明确专业应急救援队伍的有效保障范围，提升救援能力，拓展应急救援服务行业领域，积极推进各行业领域专业救援基地和队伍建设。</w:t>
      </w:r>
      <w:r>
        <w:rPr>
          <w:rFonts w:ascii="方正仿宋_GBK" w:hAnsi="Times New Roman" w:eastAsia="方正仿宋_GBK"/>
          <w:sz w:val="32"/>
          <w:szCs w:val="32"/>
        </w:rPr>
        <w:t>组织开展专业技能培训和</w:t>
      </w:r>
      <w:r>
        <w:rPr>
          <w:rFonts w:hint="eastAsia" w:ascii="方正仿宋_GBK" w:hAnsi="Times New Roman" w:eastAsia="方正仿宋_GBK"/>
          <w:sz w:val="32"/>
          <w:szCs w:val="32"/>
        </w:rPr>
        <w:t>实训演练</w:t>
      </w:r>
      <w:r>
        <w:rPr>
          <w:rFonts w:ascii="方正仿宋_GBK" w:hAnsi="Times New Roman" w:eastAsia="方正仿宋_GBK"/>
          <w:sz w:val="32"/>
          <w:szCs w:val="32"/>
        </w:rPr>
        <w:t>，优化</w:t>
      </w:r>
      <w:r>
        <w:rPr>
          <w:rFonts w:hint="eastAsia" w:ascii="方正仿宋_GBK" w:hAnsi="Times New Roman" w:eastAsia="方正仿宋_GBK"/>
          <w:sz w:val="32"/>
          <w:szCs w:val="32"/>
        </w:rPr>
        <w:t>联动指挥</w:t>
      </w:r>
      <w:r>
        <w:rPr>
          <w:rFonts w:ascii="方正仿宋_GBK" w:hAnsi="Times New Roman" w:eastAsia="方正仿宋_GBK"/>
          <w:sz w:val="32"/>
          <w:szCs w:val="32"/>
        </w:rPr>
        <w:t>和</w:t>
      </w:r>
      <w:r>
        <w:rPr>
          <w:rFonts w:hint="eastAsia" w:ascii="方正仿宋_GBK" w:hAnsi="Times New Roman" w:eastAsia="方正仿宋_GBK"/>
          <w:sz w:val="32"/>
          <w:szCs w:val="32"/>
        </w:rPr>
        <w:t>救援</w:t>
      </w:r>
      <w:r>
        <w:rPr>
          <w:rFonts w:ascii="方正仿宋_GBK" w:hAnsi="Times New Roman" w:eastAsia="方正仿宋_GBK"/>
          <w:sz w:val="32"/>
          <w:szCs w:val="32"/>
        </w:rPr>
        <w:t>保障机制，提升应急救援能力</w:t>
      </w:r>
      <w:r>
        <w:rPr>
          <w:rFonts w:hint="eastAsia" w:ascii="方正仿宋_GBK" w:hAnsi="Times New Roman" w:eastAsia="方正仿宋_GBK"/>
          <w:sz w:val="32"/>
          <w:szCs w:val="32"/>
        </w:rPr>
        <w:t>。</w:t>
      </w:r>
    </w:p>
    <w:p>
      <w:pPr>
        <w:pStyle w:val="6"/>
        <w:adjustRightInd w:val="0"/>
        <w:snapToGrid w:val="0"/>
        <w:spacing w:before="0" w:after="0" w:line="579" w:lineRule="exact"/>
        <w:ind w:firstLine="642" w:firstLineChars="200"/>
        <w:rPr>
          <w:rFonts w:ascii="方正仿宋_GBK" w:hAnsi="宋体" w:eastAsia="方正仿宋_GBK"/>
        </w:rPr>
      </w:pPr>
      <w:bookmarkStart w:id="67" w:name="_Toc87275340"/>
      <w:r>
        <w:rPr>
          <w:rFonts w:ascii="方正仿宋_GBK" w:hAnsi="宋体" w:eastAsia="方正仿宋_GBK"/>
        </w:rPr>
        <w:t>4</w:t>
      </w:r>
      <w:r>
        <w:rPr>
          <w:rFonts w:hint="eastAsia" w:ascii="方正仿宋_GBK" w:hAnsi="宋体" w:eastAsia="方正仿宋_GBK"/>
        </w:rPr>
        <w:t>.加强各领域专家队伍建设</w:t>
      </w:r>
      <w:bookmarkEnd w:id="67"/>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建立以防汛抗旱、抗震救灾、森林防火、铁路事故救援、危险化学品事故救援、医疗救护、动物疫情处置等行业领域为主的专家资源库，完善专家咨询机制，完善专家资源数据的安全共享机制。</w:t>
      </w:r>
    </w:p>
    <w:p>
      <w:pPr>
        <w:pStyle w:val="6"/>
        <w:adjustRightInd w:val="0"/>
        <w:snapToGrid w:val="0"/>
        <w:spacing w:before="0" w:after="0" w:line="579" w:lineRule="exact"/>
        <w:ind w:firstLine="642" w:firstLineChars="200"/>
        <w:rPr>
          <w:rFonts w:ascii="方正仿宋_GBK" w:hAnsi="宋体" w:eastAsia="方正仿宋_GBK"/>
        </w:rPr>
      </w:pPr>
      <w:bookmarkStart w:id="68" w:name="_Toc87275341"/>
      <w:r>
        <w:rPr>
          <w:rFonts w:ascii="方正仿宋_GBK" w:hAnsi="宋体" w:eastAsia="方正仿宋_GBK"/>
        </w:rPr>
        <w:t>5</w:t>
      </w:r>
      <w:r>
        <w:rPr>
          <w:rFonts w:hint="eastAsia" w:ascii="方正仿宋_GBK" w:hAnsi="宋体" w:eastAsia="方正仿宋_GBK"/>
        </w:rPr>
        <w:t>.鼓励社会应急救援力量发展</w:t>
      </w:r>
      <w:bookmarkEnd w:id="68"/>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完善以企事业单位专兼职队伍、社会救援力量、志愿者团队等为辅助力量的社会化应急救援队伍组织管理和联动能力建设。</w:t>
      </w:r>
      <w:r>
        <w:rPr>
          <w:rFonts w:ascii="方正仿宋_GBK" w:hAnsi="Times New Roman" w:eastAsia="方正仿宋_GBK"/>
          <w:sz w:val="32"/>
          <w:szCs w:val="32"/>
        </w:rPr>
        <w:t>健全属地为主的社会应急力量调用</w:t>
      </w:r>
      <w:r>
        <w:rPr>
          <w:rFonts w:hint="eastAsia" w:ascii="方正仿宋_GBK" w:hAnsi="Times New Roman" w:eastAsia="方正仿宋_GBK"/>
          <w:sz w:val="32"/>
          <w:szCs w:val="32"/>
        </w:rPr>
        <w:t>和管理</w:t>
      </w:r>
      <w:r>
        <w:rPr>
          <w:rFonts w:ascii="方正仿宋_GBK" w:hAnsi="Times New Roman" w:eastAsia="方正仿宋_GBK"/>
          <w:sz w:val="32"/>
          <w:szCs w:val="32"/>
        </w:rPr>
        <w:t>机制，引导社会应急力量有序参与防灾减灾和应急</w:t>
      </w:r>
      <w:r>
        <w:rPr>
          <w:rFonts w:hint="eastAsia" w:ascii="方正仿宋_GBK" w:hAnsi="Times New Roman" w:eastAsia="方正仿宋_GBK"/>
          <w:sz w:val="32"/>
          <w:szCs w:val="32"/>
        </w:rPr>
        <w:t>救援</w:t>
      </w:r>
      <w:r>
        <w:rPr>
          <w:rFonts w:ascii="方正仿宋_GBK" w:hAnsi="Times New Roman" w:eastAsia="方正仿宋_GBK"/>
          <w:sz w:val="32"/>
          <w:szCs w:val="32"/>
        </w:rPr>
        <w:t>工作</w:t>
      </w:r>
      <w:r>
        <w:rPr>
          <w:rFonts w:hint="eastAsia" w:ascii="方正仿宋_GBK" w:hAnsi="Times New Roman" w:eastAsia="方正仿宋_GBK"/>
          <w:sz w:val="32"/>
          <w:szCs w:val="32"/>
        </w:rPr>
        <w:t>。</w:t>
      </w:r>
      <w:r>
        <w:rPr>
          <w:rFonts w:ascii="方正仿宋_GBK" w:hAnsi="Times New Roman" w:eastAsia="方正仿宋_GBK"/>
          <w:sz w:val="32"/>
          <w:szCs w:val="32"/>
        </w:rPr>
        <w:t>建立激励机制，按国家</w:t>
      </w:r>
      <w:r>
        <w:rPr>
          <w:rFonts w:hint="eastAsia" w:ascii="方正仿宋_GBK" w:hAnsi="Times New Roman" w:eastAsia="方正仿宋_GBK"/>
          <w:sz w:val="32"/>
          <w:szCs w:val="32"/>
        </w:rPr>
        <w:t>、市级</w:t>
      </w:r>
      <w:r>
        <w:rPr>
          <w:rFonts w:ascii="方正仿宋_GBK" w:hAnsi="Times New Roman" w:eastAsia="方正仿宋_GBK"/>
          <w:sz w:val="32"/>
          <w:szCs w:val="32"/>
        </w:rPr>
        <w:t>有关规定表彰或奖励做出重要贡献的社会</w:t>
      </w:r>
      <w:r>
        <w:rPr>
          <w:rFonts w:hint="eastAsia" w:ascii="方正仿宋_GBK" w:hAnsi="Times New Roman" w:eastAsia="方正仿宋_GBK"/>
          <w:sz w:val="32"/>
          <w:szCs w:val="32"/>
        </w:rPr>
        <w:t>救援</w:t>
      </w:r>
      <w:r>
        <w:rPr>
          <w:rFonts w:ascii="方正仿宋_GBK" w:hAnsi="Times New Roman" w:eastAsia="方正仿宋_GBK"/>
          <w:sz w:val="32"/>
          <w:szCs w:val="32"/>
        </w:rPr>
        <w:t>力量，明确因应急救援导致伤亡的抚恤政策</w:t>
      </w:r>
      <w:r>
        <w:rPr>
          <w:rFonts w:hint="eastAsia" w:ascii="方正仿宋_GBK" w:hAnsi="Times New Roman" w:eastAsia="方正仿宋_GBK"/>
          <w:sz w:val="32"/>
          <w:szCs w:val="32"/>
        </w:rPr>
        <w:t>。</w:t>
      </w:r>
      <w:r>
        <w:rPr>
          <w:rFonts w:ascii="方正仿宋_GBK" w:hAnsi="Times New Roman" w:eastAsia="方正仿宋_GBK"/>
          <w:sz w:val="32"/>
          <w:szCs w:val="32"/>
        </w:rPr>
        <w:t>将社会应急</w:t>
      </w:r>
      <w:r>
        <w:rPr>
          <w:rFonts w:hint="eastAsia" w:ascii="方正仿宋_GBK" w:hAnsi="Times New Roman" w:eastAsia="方正仿宋_GBK"/>
          <w:sz w:val="32"/>
          <w:szCs w:val="32"/>
        </w:rPr>
        <w:t>救援</w:t>
      </w:r>
      <w:r>
        <w:rPr>
          <w:rFonts w:ascii="方正仿宋_GBK" w:hAnsi="Times New Roman" w:eastAsia="方正仿宋_GBK"/>
          <w:sz w:val="32"/>
          <w:szCs w:val="32"/>
        </w:rPr>
        <w:t>力量参与防灾减灾和应急救援工作纳入政府购买服务范围。</w:t>
      </w:r>
    </w:p>
    <w:p>
      <w:pPr>
        <w:pStyle w:val="6"/>
        <w:adjustRightInd w:val="0"/>
        <w:snapToGrid w:val="0"/>
        <w:spacing w:before="0" w:after="0" w:line="579" w:lineRule="exact"/>
        <w:ind w:firstLine="642" w:firstLineChars="200"/>
        <w:rPr>
          <w:rFonts w:ascii="方正仿宋_GBK" w:hAnsi="宋体" w:eastAsia="方正仿宋_GBK"/>
        </w:rPr>
      </w:pPr>
      <w:bookmarkStart w:id="69" w:name="_Toc87275342"/>
      <w:r>
        <w:rPr>
          <w:rFonts w:ascii="方正仿宋_GBK" w:hAnsi="宋体" w:eastAsia="方正仿宋_GBK"/>
        </w:rPr>
        <w:t>6</w:t>
      </w:r>
      <w:r>
        <w:rPr>
          <w:rFonts w:hint="eastAsia" w:ascii="方正仿宋_GBK" w:hAnsi="宋体" w:eastAsia="方正仿宋_GBK"/>
        </w:rPr>
        <w:t>.强化基层应急救援队伍建设</w:t>
      </w:r>
      <w:bookmarkEnd w:id="69"/>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实施靠前布防、强化一线，将</w:t>
      </w:r>
      <w:bookmarkStart w:id="70" w:name="_Hlk22938423"/>
      <w:r>
        <w:rPr>
          <w:rFonts w:hint="eastAsia" w:ascii="方正仿宋_GBK" w:hAnsi="Times New Roman" w:eastAsia="方正仿宋_GBK"/>
          <w:sz w:val="32"/>
          <w:szCs w:val="32"/>
        </w:rPr>
        <w:t>应急救援</w:t>
      </w:r>
      <w:bookmarkEnd w:id="70"/>
      <w:r>
        <w:rPr>
          <w:rFonts w:hint="eastAsia" w:ascii="方正仿宋_GBK" w:hAnsi="Times New Roman" w:eastAsia="方正仿宋_GBK"/>
          <w:sz w:val="32"/>
          <w:szCs w:val="32"/>
        </w:rPr>
        <w:t>力量延伸到“最末梢”，全面推行基层（街道）应急办“一规范、六个专”规范化建设，规范职能职责，加强基层应急救援队伍的装备配置和专业化能力实训工作。</w:t>
      </w:r>
    </w:p>
    <w:p>
      <w:pPr>
        <w:pStyle w:val="6"/>
        <w:adjustRightInd w:val="0"/>
        <w:snapToGrid w:val="0"/>
        <w:spacing w:before="0" w:after="0" w:line="579" w:lineRule="exact"/>
        <w:ind w:firstLine="642" w:firstLineChars="200"/>
        <w:rPr>
          <w:rFonts w:ascii="方正仿宋_GBK" w:hAnsi="宋体" w:eastAsia="方正仿宋_GBK"/>
        </w:rPr>
      </w:pPr>
      <w:bookmarkStart w:id="71" w:name="_Toc87275343"/>
      <w:r>
        <w:rPr>
          <w:rFonts w:ascii="方正仿宋_GBK" w:hAnsi="宋体" w:eastAsia="方正仿宋_GBK"/>
        </w:rPr>
        <w:t>7</w:t>
      </w:r>
      <w:r>
        <w:rPr>
          <w:rFonts w:hint="eastAsia" w:ascii="方正仿宋_GBK" w:hAnsi="宋体" w:eastAsia="方正仿宋_GBK"/>
        </w:rPr>
        <w:t>.提升应急救援队伍专业水平</w:t>
      </w:r>
      <w:bookmarkEnd w:id="71"/>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通过请进来与走出去相结合的方式，采取集中办班、专题讲座、网络教学、入校培训、岗位轮训等方式，开展专业知识培训。通过按纲施训，形成以岗位基本操作训练为基础，以体能训练为保障，以战术训练为重点的训练体系。通过常态性的开展各项应急演练、实战训练，增强各类救援队伍的合成训练、联合培训、联动演练，全面提升应急救援队伍专业技能和综合应急、协同应急能力。</w:t>
      </w:r>
    </w:p>
    <w:p>
      <w:pPr>
        <w:pStyle w:val="6"/>
        <w:adjustRightInd w:val="0"/>
        <w:snapToGrid w:val="0"/>
        <w:spacing w:before="0" w:after="0" w:line="579" w:lineRule="exact"/>
        <w:ind w:firstLine="642" w:firstLineChars="200"/>
        <w:rPr>
          <w:rFonts w:ascii="方正仿宋_GBK" w:hAnsi="宋体" w:eastAsia="方正仿宋_GBK"/>
        </w:rPr>
      </w:pPr>
      <w:bookmarkStart w:id="72" w:name="_Toc87275344"/>
      <w:r>
        <w:rPr>
          <w:rFonts w:ascii="方正仿宋_GBK" w:hAnsi="宋体" w:eastAsia="方正仿宋_GBK"/>
        </w:rPr>
        <w:t>8</w:t>
      </w:r>
      <w:r>
        <w:rPr>
          <w:rFonts w:hint="eastAsia" w:ascii="方正仿宋_GBK" w:hAnsi="宋体" w:eastAsia="方正仿宋_GBK"/>
        </w:rPr>
        <w:t>.提升应急救援队伍科技水平</w:t>
      </w:r>
      <w:bookmarkEnd w:id="72"/>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通过技术革新、装备更新、资源优化配置，打造攻坚克难的救援队伍，提高应急救援技术装备水平，积极应用先进研发成果，加强机动灵活、适应性强的专业救援装备配备，切实提升应急救援队伍的专业救援能力。</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73" w:name="_Toc75618158"/>
      <w:bookmarkStart w:id="74" w:name="_Toc87275345"/>
      <w:bookmarkStart w:id="75" w:name="_Toc12200232"/>
      <w:bookmarkStart w:id="76" w:name="_Toc12200254"/>
      <w:bookmarkStart w:id="77" w:name="_Toc12200253"/>
      <w:r>
        <w:rPr>
          <w:rFonts w:hint="eastAsia" w:ascii="方正楷体_GBK" w:hAnsi="Times New Roman" w:eastAsia="方正楷体_GBK"/>
          <w:b w:val="0"/>
          <w:bCs/>
          <w:sz w:val="32"/>
          <w:szCs w:val="32"/>
        </w:rPr>
        <w:t>（四）促进应急资源保障能力建设</w:t>
      </w:r>
      <w:bookmarkEnd w:id="73"/>
      <w:bookmarkEnd w:id="74"/>
    </w:p>
    <w:p>
      <w:pPr>
        <w:pStyle w:val="20"/>
        <w:spacing w:after="0" w:line="579" w:lineRule="exact"/>
        <w:ind w:firstLine="640" w:firstLineChars="200"/>
        <w:rPr>
          <w:rFonts w:ascii="方正仿宋_GBK" w:eastAsia="方正仿宋_GBK"/>
          <w:szCs w:val="32"/>
        </w:rPr>
      </w:pPr>
      <w:r>
        <w:rPr>
          <w:rFonts w:hint="eastAsia" w:ascii="方正仿宋_GBK" w:eastAsia="方正仿宋_GBK"/>
          <w:color w:val="000000" w:themeColor="text1"/>
          <w:szCs w:val="32"/>
          <w14:textFill>
            <w14:solidFill>
              <w14:schemeClr w14:val="tx1"/>
            </w14:solidFill>
          </w14:textFill>
        </w:rPr>
        <w:t>完善我区应急资源保障机制体制建设，</w:t>
      </w:r>
      <w:r>
        <w:rPr>
          <w:rFonts w:hint="eastAsia" w:ascii="方正仿宋_GBK" w:eastAsia="方正仿宋_GBK"/>
          <w:szCs w:val="32"/>
        </w:rPr>
        <w:t>加强应急队伍、救灾物资、救援装备、装备物资企业、运输保障资源、通讯保障资源、医疗卫生资源和重点避难场所建设。</w:t>
      </w:r>
    </w:p>
    <w:p>
      <w:pPr>
        <w:pStyle w:val="6"/>
        <w:adjustRightInd w:val="0"/>
        <w:snapToGrid w:val="0"/>
        <w:spacing w:before="0" w:after="0" w:line="579" w:lineRule="exact"/>
        <w:ind w:firstLine="642" w:firstLineChars="200"/>
        <w:rPr>
          <w:rFonts w:ascii="方正仿宋_GBK" w:hAnsi="宋体" w:eastAsia="方正仿宋_GBK"/>
        </w:rPr>
      </w:pPr>
      <w:bookmarkStart w:id="78" w:name="_Toc87275346"/>
      <w:r>
        <w:rPr>
          <w:rFonts w:ascii="方正仿宋_GBK" w:hAnsi="宋体" w:eastAsia="方正仿宋_GBK"/>
        </w:rPr>
        <w:t>1</w:t>
      </w:r>
      <w:r>
        <w:rPr>
          <w:rFonts w:hint="eastAsia" w:ascii="方正仿宋_GBK" w:hAnsi="宋体" w:eastAsia="方正仿宋_GBK"/>
        </w:rPr>
        <w:t>.完善应急资源管理机制</w:t>
      </w:r>
      <w:bookmarkEnd w:id="78"/>
    </w:p>
    <w:p>
      <w:pPr>
        <w:pStyle w:val="4"/>
        <w:spacing w:line="579" w:lineRule="exact"/>
        <w:ind w:firstLine="640"/>
        <w:rPr>
          <w:rFonts w:ascii="方正仿宋_GBK" w:eastAsia="方正仿宋_GBK"/>
          <w:szCs w:val="32"/>
        </w:rPr>
      </w:pPr>
      <w:r>
        <w:rPr>
          <w:rFonts w:hint="eastAsia" w:ascii="方正仿宋_GBK" w:eastAsia="方正仿宋_GBK"/>
          <w:szCs w:val="32"/>
        </w:rPr>
        <w:t>完善应急物资管理机制和政策体系，建立跨部门、跨区域应急物资协同保障、信息共享和应急联动机制。按照“集中管理、统一调拨、平时服务、灾时应急、采储结合、节约高效”的原则，进一步明确物资管理、储备、调运、使用、回收、进退出保障工作机制。充分依托国家应急资源管理平台，整合应急物资保障数据资源，加强应急物资分类编码和信息化管理，推动大数据、物联网等技术在应急物资管理方面的应用。</w:t>
      </w:r>
    </w:p>
    <w:p>
      <w:pPr>
        <w:pStyle w:val="6"/>
        <w:adjustRightInd w:val="0"/>
        <w:snapToGrid w:val="0"/>
        <w:spacing w:before="0" w:after="0" w:line="579" w:lineRule="exact"/>
        <w:ind w:firstLine="642" w:firstLineChars="200"/>
        <w:rPr>
          <w:rFonts w:ascii="方正仿宋_GBK" w:hAnsi="宋体" w:eastAsia="方正仿宋_GBK"/>
        </w:rPr>
      </w:pPr>
      <w:bookmarkStart w:id="79" w:name="_Toc87275347"/>
      <w:r>
        <w:rPr>
          <w:rFonts w:ascii="方正仿宋_GBK" w:hAnsi="宋体" w:eastAsia="方正仿宋_GBK"/>
        </w:rPr>
        <w:t>2</w:t>
      </w:r>
      <w:r>
        <w:rPr>
          <w:rFonts w:hint="eastAsia" w:ascii="方正仿宋_GBK" w:hAnsi="宋体" w:eastAsia="方正仿宋_GBK"/>
        </w:rPr>
        <w:t>.强化应急物资保障能力</w:t>
      </w:r>
      <w:bookmarkEnd w:id="79"/>
    </w:p>
    <w:p>
      <w:pPr>
        <w:pStyle w:val="4"/>
        <w:spacing w:line="579" w:lineRule="exact"/>
        <w:ind w:firstLine="640"/>
        <w:rPr>
          <w:rFonts w:ascii="方正仿宋_GBK" w:eastAsia="方正仿宋_GBK"/>
          <w:szCs w:val="32"/>
        </w:rPr>
      </w:pPr>
      <w:r>
        <w:rPr>
          <w:rFonts w:hint="eastAsia" w:ascii="方正仿宋_GBK" w:eastAsia="方正仿宋_GBK"/>
          <w:szCs w:val="32"/>
        </w:rPr>
        <w:t>完善全区救灾物资统一管理、跟踪、储备库管理、救灾捐赠管理、损失评估、分类统计能力建设。健全实物储备和产能储备相结合、政府储备和商业储备相结合、军队储备和地方储备相融合的应急物资储备模式。建立以中央库为依托、市级库（含区域库）为主体、本级物资库库为支撑、街道储备点为基础、社区储存室（间）为补充的五级应急物资保障体系。按照国家应急物资储备指导目录，加强本级库物资储备，紧急转移安置物资储备保障按照百万以上人口区县标准应达到5000人。针对重要民生商品等应急物资，支持社会责任储备建设，建立健全重点企业最低库存制度。建立完备的应急保障物资生产、转产、捐赠、仓储、分发、集散等科学高效的应急物资调度管理大数据支撑体系。</w:t>
      </w:r>
    </w:p>
    <w:p>
      <w:pPr>
        <w:pStyle w:val="6"/>
        <w:adjustRightInd w:val="0"/>
        <w:snapToGrid w:val="0"/>
        <w:spacing w:before="0" w:after="0" w:line="579" w:lineRule="exact"/>
        <w:ind w:firstLine="642" w:firstLineChars="200"/>
        <w:rPr>
          <w:rFonts w:ascii="方正仿宋_GBK" w:hAnsi="宋体" w:eastAsia="方正仿宋_GBK"/>
        </w:rPr>
      </w:pPr>
      <w:bookmarkStart w:id="80" w:name="_Toc87275348"/>
      <w:r>
        <w:rPr>
          <w:rFonts w:ascii="方正仿宋_GBK" w:hAnsi="宋体" w:eastAsia="方正仿宋_GBK"/>
        </w:rPr>
        <w:t>3</w:t>
      </w:r>
      <w:r>
        <w:rPr>
          <w:rFonts w:hint="eastAsia" w:ascii="方正仿宋_GBK" w:hAnsi="宋体" w:eastAsia="方正仿宋_GBK"/>
        </w:rPr>
        <w:t>.强化应急装备保障能力</w:t>
      </w:r>
      <w:bookmarkEnd w:id="80"/>
    </w:p>
    <w:p>
      <w:pPr>
        <w:pStyle w:val="4"/>
        <w:spacing w:line="579" w:lineRule="exact"/>
        <w:ind w:firstLine="640"/>
        <w:rPr>
          <w:rFonts w:ascii="方正仿宋_GBK" w:eastAsia="方正仿宋_GBK"/>
          <w:szCs w:val="32"/>
        </w:rPr>
      </w:pPr>
      <w:r>
        <w:rPr>
          <w:rFonts w:hint="eastAsia" w:ascii="方正仿宋_GBK" w:eastAsia="方正仿宋_GBK"/>
          <w:szCs w:val="32"/>
        </w:rPr>
        <w:t>加强</w:t>
      </w:r>
      <w:r>
        <w:rPr>
          <w:rFonts w:ascii="方正仿宋_GBK" w:eastAsia="方正仿宋_GBK"/>
          <w:szCs w:val="32"/>
        </w:rPr>
        <w:t>应急指挥通讯、智能无人救援、特种救援等方面的设备装备</w:t>
      </w:r>
      <w:r>
        <w:rPr>
          <w:rFonts w:hint="eastAsia" w:ascii="方正仿宋_GBK" w:eastAsia="方正仿宋_GBK"/>
          <w:szCs w:val="32"/>
        </w:rPr>
        <w:t>的补充</w:t>
      </w:r>
      <w:r>
        <w:rPr>
          <w:rFonts w:ascii="方正仿宋_GBK" w:eastAsia="方正仿宋_GBK"/>
          <w:szCs w:val="32"/>
        </w:rPr>
        <w:t>建设</w:t>
      </w:r>
      <w:r>
        <w:rPr>
          <w:rFonts w:hint="eastAsia" w:ascii="方正仿宋_GBK" w:eastAsia="方正仿宋_GBK"/>
          <w:szCs w:val="32"/>
        </w:rPr>
        <w:t>。完善全区救援装备数据登记、审核、分类管理和统计能力建设。</w:t>
      </w:r>
    </w:p>
    <w:p>
      <w:pPr>
        <w:pStyle w:val="6"/>
        <w:adjustRightInd w:val="0"/>
        <w:snapToGrid w:val="0"/>
        <w:spacing w:before="0" w:after="0" w:line="579" w:lineRule="exact"/>
        <w:ind w:firstLine="642" w:firstLineChars="200"/>
        <w:rPr>
          <w:rFonts w:ascii="方正仿宋_GBK" w:eastAsia="方正仿宋_GBK"/>
          <w:b w:val="0"/>
        </w:rPr>
      </w:pPr>
      <w:bookmarkStart w:id="81" w:name="_Toc87275349"/>
      <w:r>
        <w:rPr>
          <w:rFonts w:ascii="方正仿宋_GBK" w:eastAsia="方正仿宋_GBK"/>
        </w:rPr>
        <w:t>4</w:t>
      </w:r>
      <w:r>
        <w:rPr>
          <w:rFonts w:hint="eastAsia" w:ascii="方正仿宋_GBK" w:eastAsia="方正仿宋_GBK"/>
        </w:rPr>
        <w:t>.强化装备物资生产企业管理能力</w:t>
      </w:r>
      <w:bookmarkEnd w:id="81"/>
    </w:p>
    <w:p>
      <w:pPr>
        <w:pStyle w:val="4"/>
        <w:spacing w:line="579" w:lineRule="exact"/>
        <w:ind w:firstLine="640"/>
        <w:rPr>
          <w:rFonts w:ascii="方正仿宋_GBK" w:eastAsia="方正仿宋_GBK"/>
          <w:szCs w:val="32"/>
        </w:rPr>
      </w:pPr>
      <w:r>
        <w:rPr>
          <w:rFonts w:hint="eastAsia" w:ascii="方正仿宋_GBK" w:eastAsia="方正仿宋_GBK"/>
          <w:szCs w:val="32"/>
        </w:rPr>
        <w:t>完善全区重点装备物资生产、存储和运输企业信息的集中管理，完善市场准入机制，建立全区装备物资企业的管理机制，建立企业转产能力评估模型。</w:t>
      </w:r>
    </w:p>
    <w:p>
      <w:pPr>
        <w:pStyle w:val="6"/>
        <w:adjustRightInd w:val="0"/>
        <w:snapToGrid w:val="0"/>
        <w:spacing w:before="0" w:after="0" w:line="579" w:lineRule="exact"/>
        <w:ind w:firstLine="642" w:firstLineChars="200"/>
        <w:rPr>
          <w:rFonts w:ascii="方正仿宋_GBK" w:hAnsi="宋体" w:eastAsia="方正仿宋_GBK"/>
        </w:rPr>
      </w:pPr>
      <w:bookmarkStart w:id="82" w:name="_Toc87275350"/>
      <w:r>
        <w:rPr>
          <w:rFonts w:ascii="方正仿宋_GBK" w:hAnsi="宋体" w:eastAsia="方正仿宋_GBK"/>
        </w:rPr>
        <w:t>5</w:t>
      </w:r>
      <w:r>
        <w:rPr>
          <w:rFonts w:hint="eastAsia" w:ascii="方正仿宋_GBK" w:hAnsi="宋体" w:eastAsia="方正仿宋_GBK"/>
        </w:rPr>
        <w:t>.强化重点应急避难场所保障能力</w:t>
      </w:r>
      <w:bookmarkEnd w:id="82"/>
    </w:p>
    <w:p>
      <w:pPr>
        <w:pStyle w:val="4"/>
        <w:spacing w:line="579" w:lineRule="exact"/>
        <w:ind w:firstLine="640"/>
        <w:rPr>
          <w:rFonts w:ascii="方正仿宋_GBK" w:eastAsia="方正仿宋_GBK"/>
          <w:szCs w:val="32"/>
        </w:rPr>
      </w:pPr>
      <w:r>
        <w:rPr>
          <w:rFonts w:hint="eastAsia" w:ascii="方正仿宋_GBK" w:eastAsia="方正仿宋_GBK"/>
          <w:szCs w:val="32"/>
        </w:rPr>
        <w:t>将应急重点工程避难设施信息进行集中管理，包括应急重点工程避难设施登记、分类管理、空间分析能力建设。</w:t>
      </w:r>
    </w:p>
    <w:p>
      <w:pPr>
        <w:pStyle w:val="6"/>
        <w:adjustRightInd w:val="0"/>
        <w:snapToGrid w:val="0"/>
        <w:spacing w:before="0" w:after="0" w:line="579" w:lineRule="exact"/>
        <w:ind w:firstLine="642" w:firstLineChars="200"/>
        <w:rPr>
          <w:rFonts w:ascii="方正仿宋_GBK" w:hAnsi="宋体" w:eastAsia="方正仿宋_GBK"/>
        </w:rPr>
      </w:pPr>
      <w:bookmarkStart w:id="83" w:name="_Toc87275351"/>
      <w:r>
        <w:rPr>
          <w:rFonts w:ascii="方正仿宋_GBK" w:hAnsi="宋体" w:eastAsia="方正仿宋_GBK"/>
        </w:rPr>
        <w:t>6</w:t>
      </w:r>
      <w:r>
        <w:rPr>
          <w:rFonts w:hint="eastAsia" w:ascii="方正仿宋_GBK" w:hAnsi="宋体" w:eastAsia="方正仿宋_GBK"/>
        </w:rPr>
        <w:t>.其他保障能力建设</w:t>
      </w:r>
      <w:bookmarkEnd w:id="83"/>
    </w:p>
    <w:p>
      <w:pPr>
        <w:pStyle w:val="4"/>
        <w:spacing w:line="579" w:lineRule="exact"/>
        <w:ind w:firstLine="640"/>
        <w:rPr>
          <w:rFonts w:ascii="方正仿宋_GBK" w:eastAsia="方正仿宋_GBK"/>
          <w:szCs w:val="32"/>
        </w:rPr>
      </w:pPr>
      <w:r>
        <w:rPr>
          <w:rFonts w:hint="eastAsia" w:ascii="方正仿宋_GBK" w:eastAsia="方正仿宋_GBK"/>
          <w:szCs w:val="32"/>
        </w:rPr>
        <w:t>统筹推进交通运输、医疗卫生、通信能力保障，健全统筹协调和联动指挥机制，提升应急运输保障、医疗救助保障和通信资源保障能力建设。</w:t>
      </w:r>
    </w:p>
    <w:bookmarkEnd w:id="42"/>
    <w:bookmarkEnd w:id="75"/>
    <w:bookmarkEnd w:id="76"/>
    <w:bookmarkEnd w:id="77"/>
    <w:p>
      <w:pPr>
        <w:pStyle w:val="5"/>
        <w:keepNext/>
        <w:keepLines/>
        <w:spacing w:before="0" w:line="579" w:lineRule="exact"/>
        <w:ind w:firstLine="640" w:firstLineChars="200"/>
        <w:rPr>
          <w:rFonts w:ascii="方正楷体_GBK" w:hAnsi="Times New Roman" w:eastAsia="方正楷体_GBK"/>
          <w:b w:val="0"/>
          <w:bCs/>
          <w:sz w:val="32"/>
          <w:szCs w:val="32"/>
        </w:rPr>
      </w:pPr>
      <w:bookmarkStart w:id="84" w:name="_Toc75618159"/>
      <w:bookmarkStart w:id="85" w:name="_Toc87275352"/>
      <w:bookmarkStart w:id="86" w:name="_Toc12200233"/>
      <w:r>
        <w:rPr>
          <w:rFonts w:hint="eastAsia" w:ascii="方正楷体_GBK" w:hAnsi="Times New Roman" w:eastAsia="方正楷体_GBK"/>
          <w:b w:val="0"/>
          <w:bCs/>
          <w:sz w:val="32"/>
          <w:szCs w:val="32"/>
        </w:rPr>
        <w:t>（五）加强安全文化教育培训建设</w:t>
      </w:r>
      <w:bookmarkEnd w:id="84"/>
      <w:bookmarkEnd w:id="85"/>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进一步提升全区社会安全意识，加强安全文化建设对安全生产工作具有积极促进作用，充分调动社会各界参与安全、学习安全、重视安全的积极性，防止和减少生产安全事故，加强自然灾害防治，保障人民群众生命和财产安全。</w:t>
      </w:r>
    </w:p>
    <w:p>
      <w:pPr>
        <w:pStyle w:val="6"/>
        <w:adjustRightInd w:val="0"/>
        <w:snapToGrid w:val="0"/>
        <w:spacing w:before="0" w:after="0" w:line="579" w:lineRule="exact"/>
        <w:ind w:firstLine="642" w:firstLineChars="200"/>
        <w:rPr>
          <w:rFonts w:ascii="方正仿宋_GBK" w:hAnsi="宋体" w:eastAsia="方正仿宋_GBK"/>
        </w:rPr>
      </w:pPr>
      <w:bookmarkStart w:id="87" w:name="_Toc87275353"/>
      <w:r>
        <w:rPr>
          <w:rFonts w:ascii="方正仿宋_GBK" w:hAnsi="宋体" w:eastAsia="方正仿宋_GBK"/>
        </w:rPr>
        <w:t>1.</w:t>
      </w:r>
      <w:r>
        <w:rPr>
          <w:rFonts w:hint="eastAsia" w:ascii="方正仿宋_GBK" w:hAnsi="宋体" w:eastAsia="方正仿宋_GBK"/>
        </w:rPr>
        <w:t>加大安全文化教育培训联合宣传力度</w:t>
      </w:r>
      <w:bookmarkEnd w:id="87"/>
    </w:p>
    <w:p>
      <w:pPr>
        <w:pStyle w:val="4"/>
        <w:spacing w:line="579" w:lineRule="exact"/>
        <w:ind w:firstLine="640"/>
        <w:rPr>
          <w:rFonts w:ascii="方正仿宋_GBK" w:eastAsia="方正仿宋_GBK"/>
          <w:color w:val="333333"/>
          <w:szCs w:val="32"/>
          <w:shd w:val="clear" w:color="auto" w:fill="FFFFFF"/>
        </w:rPr>
      </w:pPr>
      <w:r>
        <w:rPr>
          <w:rFonts w:hint="eastAsia" w:ascii="方正仿宋_GBK" w:eastAsia="方正仿宋_GBK"/>
          <w:szCs w:val="32"/>
        </w:rPr>
        <w:t>联合行业监管部门完善安全生产、防灾减灾、应急救援相关法律法规建设，加大法律法规宣传力度。积极开展与行业监管部门之间进行安全文化联合宣传教育的合作，提升安全活动举办效果，节约资源。每年至少举办1次安全文化教育联合普法宣传活动。</w:t>
      </w:r>
    </w:p>
    <w:p>
      <w:pPr>
        <w:pStyle w:val="6"/>
        <w:adjustRightInd w:val="0"/>
        <w:snapToGrid w:val="0"/>
        <w:spacing w:before="0" w:after="0" w:line="579" w:lineRule="exact"/>
        <w:ind w:firstLine="642" w:firstLineChars="200"/>
        <w:rPr>
          <w:rFonts w:ascii="方正仿宋_GBK" w:hAnsi="宋体" w:eastAsia="方正仿宋_GBK"/>
        </w:rPr>
      </w:pPr>
      <w:bookmarkStart w:id="88" w:name="_Toc87275354"/>
      <w:r>
        <w:rPr>
          <w:rFonts w:ascii="方正仿宋_GBK" w:hAnsi="宋体" w:eastAsia="方正仿宋_GBK"/>
        </w:rPr>
        <w:t>2.</w:t>
      </w:r>
      <w:r>
        <w:rPr>
          <w:rFonts w:hint="eastAsia" w:ascii="方正仿宋_GBK" w:hAnsi="宋体" w:eastAsia="方正仿宋_GBK"/>
        </w:rPr>
        <w:t>加强企业、社区和群众安全文化意识</w:t>
      </w:r>
      <w:bookmarkEnd w:id="88"/>
    </w:p>
    <w:p>
      <w:pPr>
        <w:pStyle w:val="4"/>
        <w:spacing w:line="579" w:lineRule="exact"/>
        <w:ind w:firstLine="640"/>
        <w:rPr>
          <w:rFonts w:ascii="方正仿宋_GBK" w:eastAsia="方正仿宋_GBK"/>
          <w:color w:val="333333"/>
          <w:szCs w:val="32"/>
          <w:shd w:val="clear" w:color="auto" w:fill="FFFFFF"/>
        </w:rPr>
      </w:pPr>
      <w:r>
        <w:rPr>
          <w:rFonts w:hint="eastAsia" w:ascii="方正仿宋_GBK" w:eastAsia="方正仿宋_GBK"/>
          <w:szCs w:val="32"/>
        </w:rPr>
        <w:t>加强知识技能培训，引导企业、社区和广大群众提升安全生产、自然灾害防治和应急救援的意识。号召全区范围内各中小学校、专业培训机构、企事业单位、社会团体、各级工会组织及广大群众参与安全文化建设中。</w:t>
      </w:r>
    </w:p>
    <w:p>
      <w:pPr>
        <w:pStyle w:val="6"/>
        <w:adjustRightInd w:val="0"/>
        <w:snapToGrid w:val="0"/>
        <w:spacing w:before="0" w:after="0" w:line="579" w:lineRule="exact"/>
        <w:ind w:firstLine="642" w:firstLineChars="200"/>
        <w:rPr>
          <w:rFonts w:ascii="方正仿宋_GBK" w:hAnsi="宋体" w:eastAsia="方正仿宋_GBK"/>
        </w:rPr>
      </w:pPr>
      <w:bookmarkStart w:id="89" w:name="_Toc87275355"/>
      <w:r>
        <w:rPr>
          <w:rFonts w:ascii="方正仿宋_GBK" w:hAnsi="宋体" w:eastAsia="方正仿宋_GBK"/>
        </w:rPr>
        <w:t>3.</w:t>
      </w:r>
      <w:r>
        <w:rPr>
          <w:rFonts w:hint="eastAsia" w:ascii="方正仿宋_GBK" w:hAnsi="宋体" w:eastAsia="方正仿宋_GBK"/>
        </w:rPr>
        <w:t>加强安全文化活动宣传及传播手段</w:t>
      </w:r>
      <w:bookmarkEnd w:id="89"/>
    </w:p>
    <w:p>
      <w:pPr>
        <w:pStyle w:val="4"/>
        <w:spacing w:line="579" w:lineRule="exact"/>
        <w:ind w:firstLine="640"/>
        <w:rPr>
          <w:rFonts w:ascii="方正仿宋_GBK" w:eastAsia="方正仿宋_GBK"/>
          <w:szCs w:val="32"/>
        </w:rPr>
      </w:pPr>
      <w:r>
        <w:rPr>
          <w:rFonts w:hint="eastAsia" w:ascii="方正仿宋_GBK" w:eastAsia="方正仿宋_GBK"/>
          <w:szCs w:val="32"/>
        </w:rPr>
        <w:t>加强出行安全、居家安全、消防安全、森林防火、防汛抗旱、地灾防治、应急救援、安全生产等有关安全活动和宣传力度。以“国际减灾日”“全国防灾减灾日”为平台，加强防灾减灾教育宣传，利用广播、电视、报刊、网络、短信、微信等传播手段，不断强化防灾减灾宣传进家庭、进校园、进社区、进企业，积极开展系列防灾减灾科普宣传教育活动。</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90" w:name="_Toc87275356"/>
      <w:bookmarkStart w:id="91" w:name="_Toc75618160"/>
      <w:r>
        <w:rPr>
          <w:rFonts w:hint="eastAsia" w:ascii="方正楷体_GBK" w:hAnsi="Times New Roman" w:eastAsia="方正楷体_GBK"/>
          <w:b w:val="0"/>
          <w:bCs/>
          <w:sz w:val="32"/>
          <w:szCs w:val="32"/>
        </w:rPr>
        <w:t>（六）推动应急管理业态创新</w:t>
      </w:r>
      <w:bookmarkEnd w:id="90"/>
      <w:bookmarkEnd w:id="91"/>
    </w:p>
    <w:p>
      <w:pPr>
        <w:pStyle w:val="6"/>
        <w:adjustRightInd w:val="0"/>
        <w:snapToGrid w:val="0"/>
        <w:spacing w:before="0" w:after="0" w:line="579" w:lineRule="exact"/>
        <w:ind w:firstLine="642" w:firstLineChars="200"/>
        <w:rPr>
          <w:rFonts w:ascii="方正仿宋_GBK" w:hAnsi="宋体" w:eastAsia="方正仿宋_GBK"/>
        </w:rPr>
      </w:pPr>
      <w:bookmarkStart w:id="92" w:name="_Toc65053955"/>
      <w:bookmarkStart w:id="93" w:name="_Toc66784348"/>
      <w:bookmarkStart w:id="94" w:name="_Toc13535"/>
      <w:bookmarkStart w:id="95" w:name="_Toc65054014"/>
      <w:bookmarkStart w:id="96" w:name="_Toc32398"/>
      <w:bookmarkStart w:id="97" w:name="_Toc9896"/>
      <w:bookmarkStart w:id="98" w:name="_Toc87275357"/>
      <w:r>
        <w:rPr>
          <w:rFonts w:ascii="方正仿宋_GBK" w:hAnsi="宋体" w:eastAsia="方正仿宋_GBK"/>
        </w:rPr>
        <w:t>1.人才</w:t>
      </w:r>
      <w:bookmarkEnd w:id="92"/>
      <w:bookmarkEnd w:id="93"/>
      <w:bookmarkEnd w:id="94"/>
      <w:bookmarkEnd w:id="95"/>
      <w:r>
        <w:rPr>
          <w:rFonts w:hint="eastAsia" w:ascii="方正仿宋_GBK" w:hAnsi="宋体" w:eastAsia="方正仿宋_GBK"/>
        </w:rPr>
        <w:t>创新</w:t>
      </w:r>
      <w:bookmarkEnd w:id="96"/>
      <w:bookmarkEnd w:id="97"/>
      <w:bookmarkEnd w:id="98"/>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优化应急管理队伍结构，配齐区级及以下各类应急管理干部队伍建设，提高应急管理干部队伍专业人才比例，构建结构合理、梯次完备、衔接有序的人才格局。加强应急系统人才交流机制，拓宽应急领域急需紧缺人才培育供给渠道，加强应急管理高端人才引进，出台人才引进政策，并鼓励采用购买服务等方式进行第三方应急管理专业人才引进。推动职业培训转型升级，完善人员定期培训和继续教育机制，开发面向各级领导干部的应急管理能力培训课程，将应急管理纳入我区党政领导干部必修内容，加强行业职业资格培训管理。联合高效加快应急管理学科建设，鼓励支持高校开设应急管理相关专业，推动完善应急管理类研究生教育、本科生教育和高等职业技术教育体系，促进“政产学研用”应急管理人才协同培养机制。推进应急管理智库建设，规范选聘流程，完善各领域专家资源管理机制，打造应急专家资源库，充分发挥各领域专家在技术服务、决策咨询、监督检查、抢险救援等方面的作用。</w:t>
      </w:r>
    </w:p>
    <w:p>
      <w:pPr>
        <w:pStyle w:val="6"/>
        <w:adjustRightInd w:val="0"/>
        <w:snapToGrid w:val="0"/>
        <w:spacing w:before="0" w:after="0" w:line="579" w:lineRule="exact"/>
        <w:ind w:firstLine="642" w:firstLineChars="200"/>
        <w:rPr>
          <w:rFonts w:ascii="方正仿宋_GBK" w:hAnsi="宋体" w:eastAsia="方正仿宋_GBK"/>
        </w:rPr>
      </w:pPr>
      <w:bookmarkStart w:id="99" w:name="_Toc26447"/>
      <w:bookmarkStart w:id="100" w:name="_Toc65054015"/>
      <w:bookmarkStart w:id="101" w:name="_Toc65053956"/>
      <w:bookmarkStart w:id="102" w:name="_Toc66784349"/>
      <w:bookmarkStart w:id="103" w:name="_Toc26338"/>
      <w:bookmarkStart w:id="104" w:name="_Toc87275358"/>
      <w:bookmarkStart w:id="105" w:name="_Toc32305"/>
      <w:r>
        <w:rPr>
          <w:rFonts w:ascii="方正仿宋_GBK" w:hAnsi="宋体" w:eastAsia="方正仿宋_GBK"/>
        </w:rPr>
        <w:t>2.科技</w:t>
      </w:r>
      <w:bookmarkEnd w:id="99"/>
      <w:bookmarkEnd w:id="100"/>
      <w:bookmarkEnd w:id="101"/>
      <w:bookmarkEnd w:id="102"/>
      <w:r>
        <w:rPr>
          <w:rFonts w:hint="eastAsia" w:ascii="方正仿宋_GBK" w:hAnsi="宋体" w:eastAsia="方正仿宋_GBK"/>
        </w:rPr>
        <w:t>创新</w:t>
      </w:r>
      <w:bookmarkEnd w:id="103"/>
      <w:bookmarkEnd w:id="104"/>
      <w:bookmarkEnd w:id="105"/>
    </w:p>
    <w:p>
      <w:pPr>
        <w:pStyle w:val="4"/>
        <w:spacing w:line="579" w:lineRule="exact"/>
        <w:ind w:firstLine="640"/>
        <w:rPr>
          <w:rFonts w:ascii="方正仿宋_GBK" w:eastAsia="方正仿宋_GBK"/>
          <w:b/>
          <w:szCs w:val="32"/>
        </w:rPr>
      </w:pPr>
      <w:r>
        <w:rPr>
          <w:rFonts w:hint="eastAsia" w:ascii="方正仿宋_GBK" w:eastAsia="方正仿宋_GBK"/>
          <w:szCs w:val="32"/>
        </w:rPr>
        <w:t>立足需求，服务实战，推动与国内顶尖高等院校合作，促进应急管理学术成果转化与本地化应用。集中攻坚安全风险防控与治理、安全生产保障与重大事故防控、安全监测预警与控制、事故灾害感知识别、重大基础设施安全保障、综合应急技术装备等重点难点，提升科技创新能力和支撑水平。</w:t>
      </w:r>
    </w:p>
    <w:p>
      <w:pPr>
        <w:pStyle w:val="6"/>
        <w:ind w:firstLine="629" w:firstLineChars="196"/>
        <w:rPr>
          <w:rFonts w:ascii="方正仿宋_GBK" w:eastAsia="方正仿宋_GBK"/>
        </w:rPr>
      </w:pPr>
      <w:bookmarkStart w:id="106" w:name="_Toc66784350"/>
      <w:bookmarkStart w:id="107" w:name="_Toc32536"/>
      <w:bookmarkStart w:id="108" w:name="_Toc65053957"/>
      <w:bookmarkStart w:id="109" w:name="_Toc65054016"/>
      <w:bookmarkStart w:id="110" w:name="_Toc15440"/>
      <w:bookmarkStart w:id="111" w:name="_Toc87275359"/>
      <w:bookmarkStart w:id="112" w:name="_Toc11844"/>
      <w:r>
        <w:rPr>
          <w:rFonts w:hint="eastAsia" w:ascii="方正仿宋_GBK" w:eastAsia="方正仿宋_GBK"/>
        </w:rPr>
        <w:t>3.产业</w:t>
      </w:r>
      <w:bookmarkEnd w:id="106"/>
      <w:bookmarkEnd w:id="107"/>
      <w:bookmarkEnd w:id="108"/>
      <w:bookmarkEnd w:id="109"/>
      <w:r>
        <w:rPr>
          <w:rFonts w:hint="eastAsia" w:ascii="方正仿宋_GBK" w:eastAsia="方正仿宋_GBK"/>
        </w:rPr>
        <w:t>创新</w:t>
      </w:r>
      <w:bookmarkEnd w:id="110"/>
      <w:bookmarkEnd w:id="111"/>
      <w:bookmarkEnd w:id="112"/>
    </w:p>
    <w:p>
      <w:pPr>
        <w:pStyle w:val="4"/>
        <w:spacing w:line="579" w:lineRule="exact"/>
        <w:ind w:firstLine="640"/>
        <w:rPr>
          <w:rFonts w:ascii="方正仿宋_GBK" w:eastAsia="方正仿宋_GBK"/>
          <w:b/>
          <w:szCs w:val="32"/>
        </w:rPr>
      </w:pPr>
      <w:r>
        <w:rPr>
          <w:rFonts w:hint="eastAsia" w:ascii="方正仿宋_GBK" w:eastAsia="方正仿宋_GBK"/>
          <w:szCs w:val="32"/>
        </w:rPr>
        <w:t>贯彻党的十九大和十九届五中、六中全会关于加快发展现代产业体系，推动经济体系优化升级的重要精神，参考韧性城市建设要求，紧抓机制改革新机遇，结合我区特色和应急管理工作需要，着眼未来，努力打造国家级应急产业创新示范基地。具体包括：（1）提升产业链供应链现代化水平，鼓励和推动应急物资及装备产业高端化、智能化、绿色化发展。（2）大力培育应急产业向着新技术、新产品、新业态、新模式的目标不断迈进。（3）加强基础技术应用，实施关键核心技术攻坚行动，夯实产业安全基础研究。（4）制定应急产业发展政策，鼓励有条件的企业生产应急产品，发展应急产业。（5）鼓励引导企业、高校、科研机构等培养研发人才和科研团队，搭建大众创业、万众创新平台。（6）制定应急产业发展培育计划，把应急产业纳入全区工业及相关服务业发展的总体布局，大力做好产业发展规划、产业基地布局、重点项目策划和专业招商引资。（7）加强物资生产企业转产能力建设。（8）建立应急产业生态体系，依托大数据技术，发展数字经济，推动数字经济和实体经济深度融合，打造具有竞争力的应急数字产业集群。</w:t>
      </w:r>
    </w:p>
    <w:p>
      <w:pPr>
        <w:pStyle w:val="6"/>
        <w:adjustRightInd w:val="0"/>
        <w:snapToGrid w:val="0"/>
        <w:spacing w:before="0" w:after="0" w:line="579" w:lineRule="exact"/>
        <w:ind w:firstLine="642" w:firstLineChars="200"/>
        <w:rPr>
          <w:rFonts w:ascii="方正仿宋_GBK" w:hAnsi="宋体" w:eastAsia="方正仿宋_GBK"/>
        </w:rPr>
      </w:pPr>
      <w:bookmarkStart w:id="113" w:name="_Toc65053958"/>
      <w:bookmarkStart w:id="114" w:name="_Toc66784351"/>
      <w:bookmarkStart w:id="115" w:name="_Toc65054017"/>
      <w:bookmarkStart w:id="116" w:name="_Toc30114"/>
      <w:bookmarkStart w:id="117" w:name="_Toc23014"/>
      <w:bookmarkStart w:id="118" w:name="_Toc87275360"/>
      <w:bookmarkStart w:id="119" w:name="_Toc27121"/>
      <w:r>
        <w:rPr>
          <w:rFonts w:ascii="方正仿宋_GBK" w:hAnsi="宋体" w:eastAsia="方正仿宋_GBK"/>
        </w:rPr>
        <w:t>4.技术</w:t>
      </w:r>
      <w:bookmarkEnd w:id="113"/>
      <w:bookmarkEnd w:id="114"/>
      <w:bookmarkEnd w:id="115"/>
      <w:bookmarkEnd w:id="116"/>
      <w:r>
        <w:rPr>
          <w:rFonts w:hint="eastAsia" w:ascii="方正仿宋_GBK" w:hAnsi="宋体" w:eastAsia="方正仿宋_GBK"/>
        </w:rPr>
        <w:t>创新</w:t>
      </w:r>
      <w:bookmarkEnd w:id="117"/>
      <w:bookmarkEnd w:id="118"/>
      <w:bookmarkEnd w:id="119"/>
    </w:p>
    <w:p>
      <w:pPr>
        <w:pStyle w:val="4"/>
        <w:spacing w:line="579" w:lineRule="exact"/>
        <w:ind w:firstLine="640"/>
        <w:rPr>
          <w:rFonts w:ascii="方正仿宋_GBK" w:eastAsia="方正仿宋_GBK"/>
          <w:szCs w:val="32"/>
        </w:rPr>
      </w:pPr>
      <w:r>
        <w:rPr>
          <w:rFonts w:hint="eastAsia" w:ascii="方正仿宋_GBK" w:eastAsia="方正仿宋_GBK"/>
          <w:szCs w:val="32"/>
        </w:rPr>
        <w:t>促进</w:t>
      </w:r>
      <w:r>
        <w:rPr>
          <w:rFonts w:ascii="方正仿宋_GBK" w:eastAsia="方正仿宋_GBK"/>
          <w:szCs w:val="32"/>
        </w:rPr>
        <w:t>大数据、人工智能、区块链等新一代信息技术与应急管理业务有效融合</w:t>
      </w:r>
      <w:r>
        <w:rPr>
          <w:rFonts w:hint="eastAsia" w:ascii="方正仿宋_GBK" w:eastAsia="方正仿宋_GBK"/>
          <w:szCs w:val="32"/>
        </w:rPr>
        <w:t>。促进G</w:t>
      </w:r>
      <w:r>
        <w:rPr>
          <w:rFonts w:ascii="方正仿宋_GBK" w:eastAsia="方正仿宋_GBK"/>
          <w:szCs w:val="32"/>
        </w:rPr>
        <w:t>IS</w:t>
      </w:r>
      <w:r>
        <w:rPr>
          <w:rFonts w:hint="eastAsia" w:ascii="方正仿宋_GBK" w:eastAsia="方正仿宋_GBK"/>
          <w:szCs w:val="32"/>
        </w:rPr>
        <w:t>、B</w:t>
      </w:r>
      <w:r>
        <w:rPr>
          <w:rFonts w:ascii="方正仿宋_GBK" w:eastAsia="方正仿宋_GBK"/>
          <w:szCs w:val="32"/>
        </w:rPr>
        <w:t>IM</w:t>
      </w:r>
      <w:r>
        <w:rPr>
          <w:rFonts w:hint="eastAsia" w:ascii="方正仿宋_GBK" w:eastAsia="方正仿宋_GBK"/>
          <w:szCs w:val="32"/>
        </w:rPr>
        <w:t>、Io</w:t>
      </w:r>
      <w:r>
        <w:rPr>
          <w:rFonts w:ascii="方正仿宋_GBK" w:eastAsia="方正仿宋_GBK"/>
          <w:szCs w:val="32"/>
        </w:rPr>
        <w:t>T</w:t>
      </w:r>
      <w:r>
        <w:rPr>
          <w:rFonts w:hint="eastAsia" w:ascii="方正仿宋_GBK" w:eastAsia="方正仿宋_GBK"/>
          <w:szCs w:val="32"/>
        </w:rPr>
        <w:t>技术在城市安全运行监测、安全生产风险监测预警、</w:t>
      </w:r>
      <w:r>
        <w:rPr>
          <w:rFonts w:ascii="方正仿宋_GBK" w:eastAsia="方正仿宋_GBK"/>
          <w:szCs w:val="32"/>
        </w:rPr>
        <w:t>自然灾害</w:t>
      </w:r>
      <w:r>
        <w:rPr>
          <w:rFonts w:hint="eastAsia" w:ascii="方正仿宋_GBK" w:eastAsia="方正仿宋_GBK"/>
          <w:szCs w:val="32"/>
        </w:rPr>
        <w:t>综合风险监测预警方面的应用。促进专业化数学模型在应急救援和决策支撑业务领域的应用，强化各类风险预警能力和突发事件的</w:t>
      </w:r>
      <w:r>
        <w:rPr>
          <w:rFonts w:ascii="方正仿宋_GBK" w:eastAsia="方正仿宋_GBK"/>
          <w:szCs w:val="32"/>
        </w:rPr>
        <w:t>智能化、专业化、精准化水平</w:t>
      </w:r>
      <w:r>
        <w:rPr>
          <w:rFonts w:hint="eastAsia" w:ascii="方正仿宋_GBK" w:eastAsia="方正仿宋_GBK"/>
          <w:szCs w:val="32"/>
        </w:rPr>
        <w:t>，提升</w:t>
      </w:r>
      <w:r>
        <w:rPr>
          <w:rFonts w:ascii="方正仿宋_GBK" w:eastAsia="方正仿宋_GBK"/>
          <w:szCs w:val="32"/>
        </w:rPr>
        <w:t>灾情研判和辅助决策智能科学</w:t>
      </w:r>
      <w:r>
        <w:rPr>
          <w:rFonts w:hint="eastAsia" w:ascii="方正仿宋_GBK" w:eastAsia="方正仿宋_GBK"/>
          <w:szCs w:val="32"/>
        </w:rPr>
        <w:t>水平。促进云网能力提升和云服务能力建设，提升应急管理</w:t>
      </w:r>
      <w:r>
        <w:rPr>
          <w:rFonts w:ascii="方正仿宋_GBK" w:eastAsia="方正仿宋_GBK"/>
          <w:szCs w:val="32"/>
        </w:rPr>
        <w:t>协同</w:t>
      </w:r>
      <w:r>
        <w:rPr>
          <w:rFonts w:hint="eastAsia" w:ascii="方正仿宋_GBK" w:eastAsia="方正仿宋_GBK"/>
          <w:szCs w:val="32"/>
        </w:rPr>
        <w:t>效能，打造部分产品轻资产运营模式。建立</w:t>
      </w:r>
      <w:r>
        <w:rPr>
          <w:rFonts w:ascii="方正仿宋_GBK" w:eastAsia="方正仿宋_GBK"/>
          <w:szCs w:val="32"/>
        </w:rPr>
        <w:t>网络安全态势感知能力和防御反击能力。</w:t>
      </w:r>
    </w:p>
    <w:p>
      <w:pPr>
        <w:pStyle w:val="6"/>
        <w:adjustRightInd w:val="0"/>
        <w:snapToGrid w:val="0"/>
        <w:spacing w:before="0" w:after="0" w:line="579" w:lineRule="exact"/>
        <w:ind w:firstLine="642" w:firstLineChars="200"/>
        <w:rPr>
          <w:rFonts w:ascii="方正仿宋_GBK" w:hAnsi="宋体" w:eastAsia="方正仿宋_GBK"/>
        </w:rPr>
      </w:pPr>
      <w:bookmarkStart w:id="120" w:name="_Toc87275361"/>
      <w:r>
        <w:rPr>
          <w:rFonts w:ascii="方正仿宋_GBK" w:hAnsi="宋体" w:eastAsia="方正仿宋_GBK"/>
        </w:rPr>
        <w:t>5.</w:t>
      </w:r>
      <w:r>
        <w:rPr>
          <w:rFonts w:hint="eastAsia" w:ascii="方正仿宋_GBK" w:hAnsi="宋体" w:eastAsia="方正仿宋_GBK"/>
        </w:rPr>
        <w:t>文化创新</w:t>
      </w:r>
      <w:bookmarkEnd w:id="120"/>
    </w:p>
    <w:p>
      <w:pPr>
        <w:pStyle w:val="4"/>
        <w:spacing w:line="579" w:lineRule="exact"/>
        <w:ind w:firstLine="640"/>
        <w:rPr>
          <w:rFonts w:ascii="方正仿宋_GBK" w:eastAsia="方正仿宋_GBK"/>
          <w:szCs w:val="32"/>
        </w:rPr>
      </w:pPr>
      <w:r>
        <w:rPr>
          <w:rFonts w:hint="eastAsia" w:ascii="方正仿宋_GBK" w:eastAsia="方正仿宋_GBK"/>
          <w:szCs w:val="32"/>
        </w:rPr>
        <w:t>拓展应急知识及安全文化宣传全媒体传播渠道，鼓励主流媒体开办应急管理节目、栏目，大力拓展微博、微信、头条、抖音等新媒体和自媒体宣传渠道，开发具有应急文化特色的融合产品。广泛开展应急科普宣传教育，组织开展形式多样的宣传教育活动，建设应急虚拟体验馆和网上科普宣教平台。以“安全生产月”“防灾减灾日”“防震减灾周”“世界急救日”等为主要载体，共同推动应急科普知识进企业、进学校、进社区、进家庭。打造安全文化创新基地。</w:t>
      </w:r>
    </w:p>
    <w:p>
      <w:pPr>
        <w:pStyle w:val="6"/>
        <w:adjustRightInd w:val="0"/>
        <w:snapToGrid w:val="0"/>
        <w:spacing w:before="0" w:after="0" w:line="579" w:lineRule="exact"/>
        <w:ind w:firstLine="642" w:firstLineChars="200"/>
        <w:rPr>
          <w:rFonts w:ascii="方正仿宋_GBK" w:hAnsi="宋体" w:eastAsia="方正仿宋_GBK"/>
        </w:rPr>
      </w:pPr>
      <w:bookmarkStart w:id="121" w:name="_Toc87275362"/>
      <w:r>
        <w:rPr>
          <w:rFonts w:ascii="方正仿宋_GBK" w:hAnsi="宋体" w:eastAsia="方正仿宋_GBK"/>
        </w:rPr>
        <w:t>6.</w:t>
      </w:r>
      <w:r>
        <w:rPr>
          <w:rFonts w:hint="eastAsia" w:ascii="方正仿宋_GBK" w:hAnsi="宋体" w:eastAsia="方正仿宋_GBK"/>
        </w:rPr>
        <w:t>市场创新</w:t>
      </w:r>
      <w:bookmarkEnd w:id="121"/>
    </w:p>
    <w:p>
      <w:pPr>
        <w:pStyle w:val="4"/>
        <w:spacing w:line="579" w:lineRule="exact"/>
        <w:ind w:firstLine="640"/>
        <w:rPr>
          <w:rFonts w:ascii="方正仿宋_GBK" w:eastAsia="方正仿宋_GBK"/>
          <w:szCs w:val="32"/>
        </w:rPr>
      </w:pPr>
      <w:r>
        <w:rPr>
          <w:rFonts w:hint="eastAsia" w:ascii="方正仿宋_GBK" w:eastAsia="方正仿宋_GBK"/>
          <w:szCs w:val="32"/>
        </w:rPr>
        <w:t>推动行业协会学会发展。建立健全政府购买服务机制，引入第三方技术服务，促进市场活力。引入第三方保险机制，完善风险分担和赔偿保障机制。健全社会信用机制，推动应急物资采购、紧急征用、志愿捐助、紧急运输和恢复重建等方面的诚信制度和信用记录，建立“黑名单”和“白名单”管理机制，强化失信惩戒和守信激励。</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122" w:name="_Toc87275363"/>
      <w:bookmarkStart w:id="123" w:name="_Toc75618161"/>
      <w:r>
        <w:rPr>
          <w:rFonts w:hint="eastAsia" w:ascii="方正楷体_GBK" w:hAnsi="Times New Roman" w:eastAsia="方正楷体_GBK"/>
          <w:b w:val="0"/>
          <w:bCs/>
          <w:sz w:val="32"/>
          <w:szCs w:val="32"/>
        </w:rPr>
        <w:t>（七）推进应急管理信息化建设</w:t>
      </w:r>
      <w:bookmarkEnd w:id="122"/>
      <w:bookmarkEnd w:id="123"/>
    </w:p>
    <w:p>
      <w:pPr>
        <w:pStyle w:val="20"/>
        <w:spacing w:after="0" w:line="579" w:lineRule="exact"/>
        <w:ind w:firstLine="640" w:firstLineChars="200"/>
        <w:rPr>
          <w:rFonts w:ascii="方正仿宋_GBK" w:eastAsia="方正仿宋_GBK"/>
          <w:szCs w:val="32"/>
        </w:rPr>
      </w:pPr>
      <w:r>
        <w:rPr>
          <w:rFonts w:hint="eastAsia" w:ascii="方正仿宋_GBK" w:eastAsia="方正仿宋_GBK"/>
          <w:bCs/>
          <w:szCs w:val="32"/>
        </w:rPr>
        <w:t>应急管理信息化建设是加强新时代大国应急保障能力的关键性工作，</w:t>
      </w:r>
      <w:r>
        <w:rPr>
          <w:rFonts w:hint="eastAsia" w:ascii="方正仿宋_GBK" w:eastAsia="方正仿宋_GBK"/>
          <w:szCs w:val="32"/>
        </w:rPr>
        <w:t>是全面提升应急管理能力和水平，推进应急管理现代化建设的必由之路。</w:t>
      </w:r>
      <w:r>
        <w:rPr>
          <w:rFonts w:hint="eastAsia" w:ascii="方正仿宋_GBK" w:eastAsia="方正仿宋_GBK"/>
          <w:bCs/>
          <w:szCs w:val="32"/>
        </w:rPr>
        <w:t>“十四五”期间，</w:t>
      </w:r>
      <w:r>
        <w:rPr>
          <w:rFonts w:hint="eastAsia" w:ascii="方正仿宋_GBK" w:eastAsia="方正仿宋_GBK"/>
          <w:szCs w:val="32"/>
        </w:rPr>
        <w:t>抓住应急管理事业改革发展的重大战略机遇，加快推进应急管理信息化水平</w:t>
      </w:r>
      <w:r>
        <w:rPr>
          <w:rFonts w:hint="eastAsia" w:ascii="方正仿宋_GBK" w:eastAsia="方正仿宋_GBK"/>
          <w:bCs/>
          <w:szCs w:val="32"/>
        </w:rPr>
        <w:t>，提升我区应急管理工作科学化、专业化、智能化和精细化的“四化”能力。</w:t>
      </w:r>
    </w:p>
    <w:p>
      <w:pPr>
        <w:pStyle w:val="6"/>
        <w:adjustRightInd w:val="0"/>
        <w:snapToGrid w:val="0"/>
        <w:spacing w:before="0" w:after="0" w:line="579" w:lineRule="exact"/>
        <w:ind w:firstLine="642" w:firstLineChars="200"/>
        <w:rPr>
          <w:rFonts w:ascii="方正仿宋_GBK" w:hAnsi="宋体" w:eastAsia="方正仿宋_GBK"/>
        </w:rPr>
      </w:pPr>
      <w:bookmarkStart w:id="124" w:name="_Toc87275364"/>
      <w:r>
        <w:rPr>
          <w:rFonts w:ascii="方正仿宋_GBK" w:hAnsi="宋体" w:eastAsia="方正仿宋_GBK"/>
        </w:rPr>
        <w:t>1</w:t>
      </w:r>
      <w:r>
        <w:rPr>
          <w:rFonts w:hint="eastAsia" w:ascii="方正仿宋_GBK" w:hAnsi="宋体" w:eastAsia="方正仿宋_GBK"/>
        </w:rPr>
        <w:t>.提升风险监测预警能力建设</w:t>
      </w:r>
      <w:bookmarkEnd w:id="124"/>
    </w:p>
    <w:p>
      <w:pPr>
        <w:pStyle w:val="4"/>
        <w:spacing w:line="579" w:lineRule="exact"/>
        <w:ind w:firstLine="640"/>
        <w:rPr>
          <w:rFonts w:ascii="方正仿宋_GBK" w:eastAsia="方正仿宋_GBK"/>
          <w:szCs w:val="32"/>
        </w:rPr>
      </w:pPr>
      <w:r>
        <w:rPr>
          <w:rFonts w:hint="eastAsia" w:ascii="方正仿宋_GBK" w:eastAsia="方正仿宋_GBK"/>
          <w:szCs w:val="32"/>
        </w:rPr>
        <w:t>通过监测预警感知网络建设，提高风险感知能力，针对工业安全、消防安全、城市生命线安全、食品药品安全、卫生健康、自然灾害等各领域特征，建设完整的监测预警体系，对各类数据资源进行自动汇聚、识别、关联、融合，开展大数据分析和应用，提高实时监测、动态分析能力建设，提升多灾种和灾害链综合监测。</w:t>
      </w:r>
    </w:p>
    <w:p>
      <w:pPr>
        <w:pStyle w:val="6"/>
        <w:adjustRightInd w:val="0"/>
        <w:snapToGrid w:val="0"/>
        <w:spacing w:before="0" w:after="0" w:line="579" w:lineRule="exact"/>
        <w:ind w:firstLine="642" w:firstLineChars="200"/>
        <w:rPr>
          <w:rFonts w:ascii="方正仿宋_GBK" w:hAnsi="宋体" w:eastAsia="方正仿宋_GBK"/>
        </w:rPr>
      </w:pPr>
      <w:bookmarkStart w:id="125" w:name="_Toc87275365"/>
      <w:r>
        <w:rPr>
          <w:rFonts w:ascii="方正仿宋_GBK" w:hAnsi="宋体" w:eastAsia="方正仿宋_GBK"/>
        </w:rPr>
        <w:t>2</w:t>
      </w:r>
      <w:r>
        <w:rPr>
          <w:rFonts w:hint="eastAsia" w:ascii="方正仿宋_GBK" w:hAnsi="宋体" w:eastAsia="方正仿宋_GBK"/>
        </w:rPr>
        <w:t>.提升辅助指挥决策能力建设</w:t>
      </w:r>
      <w:bookmarkEnd w:id="125"/>
    </w:p>
    <w:p>
      <w:pPr>
        <w:pStyle w:val="4"/>
        <w:spacing w:line="579" w:lineRule="exact"/>
        <w:ind w:firstLine="640"/>
        <w:rPr>
          <w:rFonts w:ascii="方正仿宋_GBK" w:eastAsia="方正仿宋_GBK"/>
          <w:szCs w:val="32"/>
        </w:rPr>
      </w:pPr>
      <w:r>
        <w:rPr>
          <w:rFonts w:hint="eastAsia" w:ascii="方正仿宋_GBK" w:eastAsia="方正仿宋_GBK"/>
          <w:szCs w:val="32"/>
        </w:rPr>
        <w:t>加强风险综合研判水平，建立应急指挥“一张图”，覆盖全区应急管理信息网络高速公路，横向连通气象、地震、消防、森林、卫生等相关应急救援信息渠道，实现信息共享共用。纵向打通国家、市级、区级及基层各级应急管理机构的信息传递链路，构建“全域覆盖、全面融合、全程贯通”的应急指挥体系。</w:t>
      </w:r>
    </w:p>
    <w:p>
      <w:pPr>
        <w:pStyle w:val="6"/>
        <w:adjustRightInd w:val="0"/>
        <w:snapToGrid w:val="0"/>
        <w:spacing w:before="0" w:after="0" w:line="579" w:lineRule="exact"/>
        <w:ind w:firstLine="642" w:firstLineChars="200"/>
        <w:rPr>
          <w:rFonts w:ascii="方正仿宋_GBK" w:hAnsi="宋体" w:eastAsia="方正仿宋_GBK"/>
        </w:rPr>
      </w:pPr>
      <w:bookmarkStart w:id="126" w:name="_Toc87275366"/>
      <w:r>
        <w:rPr>
          <w:rFonts w:ascii="方正仿宋_GBK" w:hAnsi="宋体" w:eastAsia="方正仿宋_GBK"/>
        </w:rPr>
        <w:t>3</w:t>
      </w:r>
      <w:r>
        <w:rPr>
          <w:rFonts w:hint="eastAsia" w:ascii="方正仿宋_GBK" w:hAnsi="宋体" w:eastAsia="方正仿宋_GBK"/>
        </w:rPr>
        <w:t>.提升应急救援实战能力建设</w:t>
      </w:r>
      <w:bookmarkEnd w:id="126"/>
    </w:p>
    <w:p>
      <w:pPr>
        <w:pStyle w:val="4"/>
        <w:spacing w:line="579" w:lineRule="exact"/>
        <w:ind w:firstLine="640"/>
        <w:rPr>
          <w:rFonts w:ascii="方正仿宋_GBK" w:eastAsia="方正仿宋_GBK"/>
          <w:szCs w:val="32"/>
        </w:rPr>
      </w:pPr>
      <w:r>
        <w:rPr>
          <w:rFonts w:hint="eastAsia" w:ascii="方正仿宋_GBK" w:eastAsia="方正仿宋_GBK"/>
          <w:szCs w:val="32"/>
        </w:rPr>
        <w:t>建立灾情救援实战平台，利用“区块链”“5G”“北斗”“大数据”等新技术，根据实时灾情信息，快速启动响应，生成救援、调度及保障方案，实现灾区现场实时感知，异地决策快速同步，人员、物资及各类资源的及时派发和调配。</w:t>
      </w:r>
    </w:p>
    <w:p>
      <w:pPr>
        <w:pStyle w:val="6"/>
        <w:adjustRightInd w:val="0"/>
        <w:snapToGrid w:val="0"/>
        <w:spacing w:before="0" w:after="0" w:line="579" w:lineRule="exact"/>
        <w:ind w:firstLine="642" w:firstLineChars="200"/>
        <w:rPr>
          <w:rFonts w:ascii="方正仿宋_GBK" w:hAnsi="宋体" w:eastAsia="方正仿宋_GBK"/>
        </w:rPr>
      </w:pPr>
      <w:bookmarkStart w:id="127" w:name="_Toc87275367"/>
      <w:r>
        <w:rPr>
          <w:rFonts w:ascii="方正仿宋_GBK" w:hAnsi="宋体" w:eastAsia="方正仿宋_GBK"/>
        </w:rPr>
        <w:t>4</w:t>
      </w:r>
      <w:r>
        <w:rPr>
          <w:rFonts w:hint="eastAsia" w:ascii="方正仿宋_GBK" w:hAnsi="宋体" w:eastAsia="方正仿宋_GBK"/>
        </w:rPr>
        <w:t>.提升应急监管执法能力建设</w:t>
      </w:r>
      <w:bookmarkEnd w:id="127"/>
    </w:p>
    <w:p>
      <w:pPr>
        <w:pStyle w:val="4"/>
        <w:spacing w:line="579" w:lineRule="exact"/>
        <w:ind w:firstLine="640"/>
        <w:rPr>
          <w:rFonts w:ascii="方正仿宋_GBK" w:eastAsia="方正仿宋_GBK"/>
          <w:szCs w:val="32"/>
        </w:rPr>
      </w:pPr>
      <w:r>
        <w:rPr>
          <w:rFonts w:hint="eastAsia" w:ascii="方正仿宋_GBK" w:eastAsia="方正仿宋_GBK"/>
          <w:szCs w:val="32"/>
        </w:rPr>
        <w:t>拓宽信息采集范围，积极探索“互联网+监管”模式，企业登记、市场监管、税务、行政执法、投诉举报、公安、监察等多部门数据在线，更加有效督促企业落实主体责任和自查自纠。实现安全监管、效能监管、信用监管、重点监管、综合监管、协同监管和智慧监管。</w:t>
      </w:r>
    </w:p>
    <w:p>
      <w:pPr>
        <w:pStyle w:val="6"/>
        <w:adjustRightInd w:val="0"/>
        <w:snapToGrid w:val="0"/>
        <w:spacing w:before="0" w:after="0" w:line="579" w:lineRule="exact"/>
        <w:ind w:firstLine="642" w:firstLineChars="200"/>
        <w:rPr>
          <w:rFonts w:ascii="方正仿宋_GBK" w:hAnsi="宋体" w:eastAsia="方正仿宋_GBK"/>
        </w:rPr>
      </w:pPr>
      <w:bookmarkStart w:id="128" w:name="_Toc87275368"/>
      <w:r>
        <w:rPr>
          <w:rFonts w:hint="eastAsia" w:ascii="方正仿宋_GBK" w:hAnsi="宋体" w:eastAsia="方正仿宋_GBK"/>
        </w:rPr>
        <w:t>5.加强应急管理智库体系建设</w:t>
      </w:r>
      <w:bookmarkEnd w:id="128"/>
    </w:p>
    <w:p>
      <w:pPr>
        <w:pStyle w:val="67"/>
        <w:spacing w:line="579" w:lineRule="exact"/>
        <w:ind w:firstLine="640"/>
        <w:rPr>
          <w:rFonts w:ascii="方正仿宋_GBK" w:eastAsia="方正仿宋_GBK"/>
          <w:sz w:val="32"/>
          <w:szCs w:val="32"/>
        </w:rPr>
      </w:pPr>
      <w:r>
        <w:rPr>
          <w:rFonts w:hint="eastAsia" w:ascii="方正仿宋_GBK" w:hAnsi="Times New Roman" w:eastAsia="方正仿宋_GBK"/>
          <w:sz w:val="32"/>
          <w:szCs w:val="32"/>
        </w:rPr>
        <w:t>贯彻落实总体国家安全观，强化风险预警能力，强化系统性思维和早期预警能力建设。增强应急管理跨界协作的智库体系建设，针对全球性、全局性、全域性、全民性影响建立有效联动机制，整合历史案例、法规标准、行业知识等系统化应急知识体系，为突发事件应对提供多维度、全方位决策支撑。</w:t>
      </w:r>
    </w:p>
    <w:p>
      <w:pPr>
        <w:pStyle w:val="6"/>
        <w:adjustRightInd w:val="0"/>
        <w:snapToGrid w:val="0"/>
        <w:spacing w:before="0" w:after="0" w:line="579" w:lineRule="exact"/>
        <w:ind w:firstLine="642" w:firstLineChars="200"/>
        <w:rPr>
          <w:rFonts w:ascii="方正仿宋_GBK" w:hAnsi="宋体" w:eastAsia="方正仿宋_GBK"/>
        </w:rPr>
      </w:pPr>
      <w:bookmarkStart w:id="129" w:name="_Toc87275369"/>
      <w:r>
        <w:rPr>
          <w:rFonts w:ascii="方正仿宋_GBK" w:hAnsi="宋体" w:eastAsia="方正仿宋_GBK"/>
        </w:rPr>
        <w:t>6</w:t>
      </w:r>
      <w:r>
        <w:rPr>
          <w:rFonts w:hint="eastAsia" w:ascii="方正仿宋_GBK" w:hAnsi="宋体" w:eastAsia="方正仿宋_GBK"/>
        </w:rPr>
        <w:t>.加强基层信息上报渠道多元化建设</w:t>
      </w:r>
      <w:bookmarkEnd w:id="129"/>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充分发挥基层社区网格化治理的基础能力建设，完善健全社会组织的应急管理能力，提升社会资源动员、协调和分配效力，夯实我区应急管理的社会治理基础能力建设。</w:t>
      </w:r>
    </w:p>
    <w:p>
      <w:pPr>
        <w:pStyle w:val="6"/>
        <w:adjustRightInd w:val="0"/>
        <w:snapToGrid w:val="0"/>
        <w:spacing w:before="0" w:after="0" w:line="579" w:lineRule="exact"/>
        <w:ind w:firstLine="642" w:firstLineChars="200"/>
        <w:rPr>
          <w:rFonts w:ascii="方正仿宋_GBK" w:hAnsi="宋体" w:eastAsia="方正仿宋_GBK"/>
        </w:rPr>
      </w:pPr>
      <w:bookmarkStart w:id="130" w:name="_Toc87275370"/>
      <w:r>
        <w:rPr>
          <w:rFonts w:ascii="方正仿宋_GBK" w:hAnsi="宋体" w:eastAsia="方正仿宋_GBK"/>
        </w:rPr>
        <w:t>7</w:t>
      </w:r>
      <w:r>
        <w:rPr>
          <w:rFonts w:hint="eastAsia" w:ascii="方正仿宋_GBK" w:hAnsi="宋体" w:eastAsia="方正仿宋_GBK"/>
        </w:rPr>
        <w:t>.完善应急响应及预案数字化体系建设</w:t>
      </w:r>
      <w:bookmarkEnd w:id="130"/>
    </w:p>
    <w:p>
      <w:pPr>
        <w:pStyle w:val="4"/>
        <w:spacing w:line="579" w:lineRule="exact"/>
        <w:ind w:firstLine="640"/>
        <w:rPr>
          <w:rFonts w:ascii="方正仿宋_GBK" w:eastAsia="方正仿宋_GBK"/>
          <w:szCs w:val="32"/>
        </w:rPr>
      </w:pPr>
      <w:r>
        <w:rPr>
          <w:rFonts w:hint="eastAsia" w:ascii="方正仿宋_GBK" w:eastAsia="方正仿宋_GBK"/>
          <w:szCs w:val="32"/>
        </w:rPr>
        <w:t>按照机构改革后对应急管理工作要求，加快出台我区突发事件总体预案和各个专项预案完善更新与体系建设工作，加快数字化预案体系建设，同时加强灾害链和预案链体系研究。完善应急响应保障机制和预案数字化平台建设。</w:t>
      </w:r>
    </w:p>
    <w:p>
      <w:pPr>
        <w:pStyle w:val="6"/>
        <w:adjustRightInd w:val="0"/>
        <w:snapToGrid w:val="0"/>
        <w:spacing w:before="0" w:after="0" w:line="579" w:lineRule="exact"/>
        <w:ind w:firstLine="642" w:firstLineChars="200"/>
        <w:rPr>
          <w:rFonts w:ascii="方正仿宋_GBK" w:hAnsi="宋体" w:eastAsia="方正仿宋_GBK"/>
        </w:rPr>
      </w:pPr>
      <w:bookmarkStart w:id="131" w:name="_Toc87275371"/>
      <w:r>
        <w:rPr>
          <w:rFonts w:ascii="方正仿宋_GBK" w:hAnsi="宋体" w:eastAsia="方正仿宋_GBK"/>
        </w:rPr>
        <w:t>8</w:t>
      </w:r>
      <w:r>
        <w:rPr>
          <w:rFonts w:hint="eastAsia" w:ascii="方正仿宋_GBK" w:hAnsi="宋体" w:eastAsia="方正仿宋_GBK"/>
        </w:rPr>
        <w:t>.健全重大舆情监测研判、预警、发布机制体制建设</w:t>
      </w:r>
      <w:bookmarkEnd w:id="131"/>
    </w:p>
    <w:p>
      <w:pPr>
        <w:pStyle w:val="67"/>
        <w:spacing w:line="579" w:lineRule="exact"/>
        <w:ind w:firstLine="640"/>
        <w:rPr>
          <w:rFonts w:ascii="方正仿宋_GBK" w:hAnsi="Times New Roman" w:eastAsia="方正仿宋_GBK"/>
          <w:sz w:val="32"/>
          <w:szCs w:val="32"/>
        </w:rPr>
      </w:pPr>
      <w:r>
        <w:rPr>
          <w:rFonts w:hint="eastAsia" w:ascii="方正仿宋_GBK" w:hAnsi="Times New Roman" w:eastAsia="方正仿宋_GBK"/>
          <w:sz w:val="32"/>
          <w:szCs w:val="32"/>
        </w:rPr>
        <w:t>强化网络主流媒体舆论监督机制，建立完善网络综合治理体系和机制，构建良好互联网生态，建立健全舆情监测、风险评估和分析研判机制。</w:t>
      </w:r>
    </w:p>
    <w:bookmarkEnd w:id="86"/>
    <w:p>
      <w:pPr>
        <w:pStyle w:val="2"/>
        <w:keepNext/>
        <w:keepLines/>
        <w:spacing w:before="0" w:line="579" w:lineRule="exact"/>
        <w:ind w:left="640" w:leftChars="200"/>
        <w:rPr>
          <w:rFonts w:ascii="方正黑体_GBK" w:hAnsi="Times New Roman" w:eastAsia="方正黑体_GBK"/>
          <w:b w:val="0"/>
          <w:bCs/>
          <w:kern w:val="44"/>
        </w:rPr>
      </w:pPr>
      <w:bookmarkStart w:id="132" w:name="_Toc75618163"/>
      <w:bookmarkStart w:id="133" w:name="_Toc87275372"/>
      <w:r>
        <w:rPr>
          <w:rFonts w:hint="eastAsia" w:ascii="方正黑体_GBK" w:hAnsi="Times New Roman" w:eastAsia="方正黑体_GBK"/>
          <w:b w:val="0"/>
          <w:bCs/>
          <w:kern w:val="44"/>
        </w:rPr>
        <w:t>五、重点工程</w:t>
      </w:r>
      <w:bookmarkEnd w:id="132"/>
      <w:bookmarkEnd w:id="133"/>
    </w:p>
    <w:p>
      <w:pPr>
        <w:pStyle w:val="5"/>
        <w:keepNext/>
        <w:keepLines/>
        <w:spacing w:before="0" w:line="579" w:lineRule="exact"/>
        <w:ind w:firstLine="640" w:firstLineChars="200"/>
        <w:rPr>
          <w:rFonts w:ascii="方正楷体_GBK" w:hAnsi="Times New Roman" w:eastAsia="方正楷体_GBK"/>
          <w:b w:val="0"/>
          <w:bCs/>
          <w:sz w:val="32"/>
          <w:szCs w:val="32"/>
        </w:rPr>
      </w:pPr>
      <w:bookmarkStart w:id="134" w:name="_Toc87275373"/>
      <w:bookmarkStart w:id="135" w:name="_Toc75618164"/>
      <w:bookmarkStart w:id="136" w:name="_Toc12200257"/>
      <w:r>
        <w:rPr>
          <w:rFonts w:hint="eastAsia" w:ascii="方正楷体_GBK" w:hAnsi="Times New Roman" w:eastAsia="方正楷体_GBK"/>
          <w:b w:val="0"/>
          <w:bCs/>
          <w:sz w:val="32"/>
          <w:szCs w:val="32"/>
        </w:rPr>
        <w:t>（一）防灾减灾能力提升工程</w:t>
      </w:r>
      <w:bookmarkEnd w:id="134"/>
      <w:bookmarkEnd w:id="135"/>
    </w:p>
    <w:p>
      <w:pPr>
        <w:pStyle w:val="6"/>
        <w:adjustRightInd w:val="0"/>
        <w:snapToGrid w:val="0"/>
        <w:spacing w:before="0" w:after="0" w:line="579" w:lineRule="exact"/>
        <w:ind w:firstLine="642" w:firstLineChars="200"/>
        <w:rPr>
          <w:rFonts w:ascii="方正仿宋_GBK" w:hAnsi="宋体" w:eastAsia="方正仿宋_GBK"/>
        </w:rPr>
      </w:pPr>
      <w:bookmarkStart w:id="137" w:name="_Toc87275374"/>
      <w:r>
        <w:rPr>
          <w:rFonts w:ascii="方正仿宋_GBK" w:hAnsi="宋体" w:eastAsia="方正仿宋_GBK"/>
        </w:rPr>
        <w:t>1</w:t>
      </w:r>
      <w:r>
        <w:rPr>
          <w:rFonts w:hint="eastAsia" w:ascii="方正仿宋_GBK" w:hAnsi="宋体" w:eastAsia="方正仿宋_GBK"/>
        </w:rPr>
        <w:t>.防灾减灾基础设施保障工程</w:t>
      </w:r>
      <w:bookmarkEnd w:id="137"/>
    </w:p>
    <w:p>
      <w:pPr>
        <w:snapToGrid w:val="0"/>
        <w:spacing w:line="579" w:lineRule="exact"/>
        <w:ind w:firstLine="640"/>
        <w:rPr>
          <w:rFonts w:ascii="方正仿宋_GBK" w:eastAsia="方正仿宋_GBK"/>
          <w:bCs/>
          <w:szCs w:val="32"/>
        </w:rPr>
      </w:pPr>
      <w:r>
        <w:rPr>
          <w:rFonts w:hint="eastAsia" w:ascii="方正仿宋_GBK" w:eastAsia="方正仿宋_GBK"/>
          <w:bCs/>
          <w:szCs w:val="32"/>
        </w:rPr>
        <w:t>按照市级统一部署和整体规划，提升我区防灾减灾基础设施保障能力建设，主要涉及：（1）完善我区地质灾害隐患综合遥感识别体系和监测装备配备，开展重大地质灾害工程治理和地质灾害隐患点避险移民搬迁工作。（2）完善我区地震监测能力薄弱地区、重点监视防御区和重要工程建设区强震动监测台网及监测装备配备，完成现有地震监测台站标准化和信息化技术升级改造，在超过200米的超高层建筑和特大桥安装地震加速度计。（3）补齐城市排水防涝设施短板，开展城市内涝点整治专项行动。率先完成主干道、立交下穿道、低洼地等区域整治；到2022年底，基本完成整治，排水防涝应急能力建设有效提升。（4）对跨江大桥桥梁进行修缮，完善车行系统、增设垂直升降梯、构建便捷步行通廊、优化安全防护等，提升桥梁交通功能。（5）在中小河流、山洪、地质灾害隐患点和暴雨灾害高风险区、高海拔地区等监测盲区新建和升级多要素自动气象站。</w:t>
      </w:r>
    </w:p>
    <w:p>
      <w:pPr>
        <w:pStyle w:val="6"/>
        <w:adjustRightInd w:val="0"/>
        <w:snapToGrid w:val="0"/>
        <w:spacing w:before="0" w:after="0" w:line="579" w:lineRule="exact"/>
        <w:ind w:firstLine="642" w:firstLineChars="200"/>
        <w:rPr>
          <w:rFonts w:ascii="方正仿宋_GBK" w:hAnsi="宋体" w:eastAsia="方正仿宋_GBK"/>
        </w:rPr>
      </w:pPr>
      <w:bookmarkStart w:id="138" w:name="_Toc87275375"/>
      <w:r>
        <w:rPr>
          <w:rFonts w:ascii="方正仿宋_GBK" w:hAnsi="宋体" w:eastAsia="方正仿宋_GBK"/>
        </w:rPr>
        <w:t>2.</w:t>
      </w:r>
      <w:r>
        <w:rPr>
          <w:rFonts w:hint="eastAsia" w:ascii="方正仿宋_GBK" w:hAnsi="宋体" w:eastAsia="方正仿宋_GBK"/>
        </w:rPr>
        <w:t>第一次全国自然灾害综合风险普查</w:t>
      </w:r>
      <w:bookmarkEnd w:id="138"/>
    </w:p>
    <w:p>
      <w:pPr>
        <w:pStyle w:val="4"/>
        <w:spacing w:line="579" w:lineRule="exact"/>
        <w:ind w:firstLine="640"/>
        <w:rPr>
          <w:rFonts w:ascii="方正仿宋_GBK" w:hAnsi="宋体" w:eastAsia="方正仿宋_GBK"/>
          <w:bCs/>
          <w:szCs w:val="32"/>
        </w:rPr>
      </w:pPr>
      <w:r>
        <w:rPr>
          <w:rFonts w:hint="eastAsia" w:ascii="方正仿宋_GBK" w:hAnsi="宋体" w:eastAsia="方正仿宋_GBK"/>
          <w:bCs/>
          <w:szCs w:val="32"/>
        </w:rPr>
        <w:t>根据国家和重庆市统一部署，针对</w:t>
      </w:r>
      <w:r>
        <w:rPr>
          <w:rFonts w:ascii="方正仿宋_GBK" w:hAnsi="宋体" w:eastAsia="方正仿宋_GBK"/>
          <w:bCs/>
          <w:szCs w:val="32"/>
        </w:rPr>
        <w:t>地震、地质、气象、水旱等</w:t>
      </w:r>
      <w:r>
        <w:rPr>
          <w:rFonts w:hint="eastAsia" w:ascii="方正仿宋_GBK" w:hAnsi="宋体" w:eastAsia="方正仿宋_GBK"/>
          <w:bCs/>
          <w:szCs w:val="32"/>
        </w:rPr>
        <w:t>灾害进行全要素调查</w:t>
      </w:r>
      <w:r>
        <w:rPr>
          <w:rFonts w:ascii="方正仿宋_GBK" w:hAnsi="宋体" w:eastAsia="方正仿宋_GBK"/>
          <w:bCs/>
          <w:szCs w:val="32"/>
        </w:rPr>
        <w:t>。</w:t>
      </w:r>
      <w:r>
        <w:rPr>
          <w:rFonts w:hint="eastAsia" w:ascii="方正仿宋_GBK" w:hAnsi="宋体" w:eastAsia="方正仿宋_GBK"/>
          <w:bCs/>
          <w:szCs w:val="32"/>
        </w:rPr>
        <w:t>形成</w:t>
      </w:r>
      <w:r>
        <w:rPr>
          <w:rFonts w:ascii="方正仿宋_GBK" w:hAnsi="宋体" w:eastAsia="方正仿宋_GBK"/>
          <w:bCs/>
          <w:szCs w:val="32"/>
        </w:rPr>
        <w:t>自然灾害致灾调查与评估，人口、房屋、基础设施、资源和环境等承灾体调查与评估，历史灾害调查与评估，综合减灾资源（能力）调查与评估，重点隐患调查与评估，主要灾害风险评估</w:t>
      </w:r>
      <w:r>
        <w:rPr>
          <w:rFonts w:hint="eastAsia" w:ascii="方正仿宋_GBK" w:hAnsi="宋体" w:eastAsia="方正仿宋_GBK"/>
          <w:bCs/>
          <w:szCs w:val="32"/>
        </w:rPr>
        <w:t>等报告，摸清灾害风险隐患底数，查明重点区域抗灾能力，建立自然灾害综合风险与减灾能力数据库，编制自然灾害系列风险图和综合风险区划和灾害综合防治区划</w:t>
      </w:r>
      <w:r>
        <w:rPr>
          <w:rFonts w:ascii="方正仿宋_GBK" w:hAnsi="宋体" w:eastAsia="方正仿宋_GBK"/>
          <w:bCs/>
          <w:szCs w:val="32"/>
        </w:rPr>
        <w:t>。</w:t>
      </w:r>
    </w:p>
    <w:p>
      <w:pPr>
        <w:pStyle w:val="6"/>
        <w:adjustRightInd w:val="0"/>
        <w:snapToGrid w:val="0"/>
        <w:spacing w:before="0" w:after="0" w:line="579" w:lineRule="exact"/>
        <w:ind w:firstLine="642" w:firstLineChars="200"/>
        <w:rPr>
          <w:rFonts w:ascii="方正仿宋_GBK" w:hAnsi="宋体" w:eastAsia="方正仿宋_GBK"/>
        </w:rPr>
      </w:pPr>
      <w:bookmarkStart w:id="139" w:name="_Toc87275376"/>
      <w:r>
        <w:rPr>
          <w:rFonts w:ascii="方正仿宋_GBK" w:hAnsi="宋体" w:eastAsia="方正仿宋_GBK"/>
        </w:rPr>
        <w:t>3.</w:t>
      </w:r>
      <w:r>
        <w:rPr>
          <w:rFonts w:hint="eastAsia" w:ascii="方正仿宋_GBK" w:hAnsi="宋体" w:eastAsia="方正仿宋_GBK"/>
        </w:rPr>
        <w:t>城市生命线工程监测预警工程</w:t>
      </w:r>
      <w:bookmarkEnd w:id="139"/>
    </w:p>
    <w:p>
      <w:pPr>
        <w:pStyle w:val="4"/>
        <w:spacing w:line="579" w:lineRule="exact"/>
        <w:ind w:firstLine="640"/>
        <w:rPr>
          <w:rFonts w:ascii="方正仿宋_GBK" w:hAnsi="宋体" w:eastAsia="方正仿宋_GBK"/>
          <w:bCs/>
          <w:szCs w:val="32"/>
        </w:rPr>
      </w:pPr>
      <w:r>
        <w:rPr>
          <w:rFonts w:hint="eastAsia" w:ascii="方正仿宋_GBK" w:hAnsi="宋体" w:eastAsia="方正仿宋_GBK"/>
          <w:bCs/>
          <w:szCs w:val="32"/>
        </w:rPr>
        <w:t>通过公共安全评价理论技术建立城市安全运行监测数学模型和城市基础设施安全数据中心，综合运用城市综合风险评估技术、城市排水及内涝预警技术、供水泄漏监测技术、可燃气体检测、桥梁综合处置主机、大数据平台等多项技术，提升我区城市基础设施防灾减灾能力，推动城市公共安全产业集聚，为建设智慧安全城市、实现城市精细化管理、主动式安全保障提供科技支撑。</w:t>
      </w:r>
    </w:p>
    <w:p>
      <w:pPr>
        <w:pStyle w:val="6"/>
        <w:adjustRightInd w:val="0"/>
        <w:snapToGrid w:val="0"/>
        <w:spacing w:before="0" w:after="0" w:line="579" w:lineRule="exact"/>
        <w:ind w:firstLine="642" w:firstLineChars="200"/>
        <w:rPr>
          <w:rFonts w:ascii="方正仿宋_GBK" w:hAnsi="宋体" w:eastAsia="方正仿宋_GBK"/>
        </w:rPr>
      </w:pPr>
      <w:bookmarkStart w:id="140" w:name="_Toc87275377"/>
      <w:r>
        <w:rPr>
          <w:rFonts w:ascii="方正仿宋_GBK" w:hAnsi="宋体" w:eastAsia="方正仿宋_GBK"/>
        </w:rPr>
        <w:t>4.</w:t>
      </w:r>
      <w:r>
        <w:rPr>
          <w:rFonts w:hint="eastAsia" w:ascii="方正仿宋_GBK" w:hAnsi="宋体" w:eastAsia="方正仿宋_GBK"/>
        </w:rPr>
        <w:t>防灾减灾知识强化建设工程</w:t>
      </w:r>
      <w:bookmarkEnd w:id="140"/>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持续推进安全宣传工作，开展安全生产月系列活动，不断提升社会安全防范意识，创新开展“5.12全国防灾减灾日”“10.13国际减灾日”“11.9全国消防安全日”等各类安全宣传活动。有条件的街道要建设应急服务中心，提升全民公共安全意识和安全应急能力。制定基层应急机构和职责、工作机制、应急队伍、救灾物资、应急设施、信息系统等方面的规范，推进基层应急体系和能力现代化建设。</w:t>
      </w:r>
    </w:p>
    <w:p>
      <w:pPr>
        <w:pStyle w:val="6"/>
        <w:adjustRightInd w:val="0"/>
        <w:snapToGrid w:val="0"/>
        <w:spacing w:before="0" w:after="0" w:line="579" w:lineRule="exact"/>
        <w:ind w:firstLine="642" w:firstLineChars="200"/>
        <w:rPr>
          <w:rFonts w:ascii="方正仿宋_GBK" w:hAnsi="宋体" w:eastAsia="方正仿宋_GBK"/>
        </w:rPr>
      </w:pPr>
      <w:bookmarkStart w:id="141" w:name="_Toc87275378"/>
      <w:r>
        <w:rPr>
          <w:rFonts w:ascii="方正仿宋_GBK" w:hAnsi="宋体" w:eastAsia="方正仿宋_GBK"/>
        </w:rPr>
        <w:t>5.</w:t>
      </w:r>
      <w:r>
        <w:rPr>
          <w:rFonts w:hint="eastAsia" w:ascii="方正仿宋_GBK" w:hAnsi="宋体" w:eastAsia="方正仿宋_GBK"/>
        </w:rPr>
        <w:t>安全文化创新基地建设工程</w:t>
      </w:r>
      <w:bookmarkEnd w:id="141"/>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贯彻党的十九大和十九届五中、六中全会关于繁荣发展文化事业和文化产业，提高国家文化软实力的重要精神，坚持总体国家安全观宗旨，紧抓机制改革新机遇，结合我区特色和应急管理工作需要，着眼未来，努力打造国家级安全文化创新示范基地。建设城市运行安全文化体验基地，包含自然灾害体验馆、公共安全体验馆、交通安全体验馆、消防安全体验馆、家居安全体验馆、生产安全体验馆、应急救援体验馆和青少年儿童安全教育体验馆。实现线上仿真、宣传教育、社区安全之家、安全管理人员培训学院、应急百科等全方位安全文化教育培训。</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142" w:name="_Toc75618165"/>
      <w:bookmarkStart w:id="143" w:name="_Toc87275379"/>
      <w:r>
        <w:rPr>
          <w:rFonts w:hint="eastAsia" w:ascii="方正楷体_GBK" w:hAnsi="Times New Roman" w:eastAsia="方正楷体_GBK"/>
          <w:b w:val="0"/>
          <w:bCs/>
          <w:sz w:val="32"/>
          <w:szCs w:val="32"/>
        </w:rPr>
        <w:t>（二）应急保障能力提升工程</w:t>
      </w:r>
      <w:bookmarkEnd w:id="142"/>
      <w:bookmarkEnd w:id="143"/>
    </w:p>
    <w:p>
      <w:pPr>
        <w:pStyle w:val="6"/>
        <w:adjustRightInd w:val="0"/>
        <w:snapToGrid w:val="0"/>
        <w:spacing w:before="0" w:after="0" w:line="579" w:lineRule="exact"/>
        <w:ind w:firstLine="642" w:firstLineChars="200"/>
        <w:rPr>
          <w:rFonts w:ascii="方正仿宋_GBK" w:hAnsi="宋体" w:eastAsia="方正仿宋_GBK"/>
        </w:rPr>
      </w:pPr>
      <w:bookmarkStart w:id="144" w:name="_Toc87275380"/>
      <w:r>
        <w:rPr>
          <w:rFonts w:hint="eastAsia" w:ascii="方正仿宋_GBK" w:hAnsi="宋体" w:eastAsia="方正仿宋_GBK"/>
        </w:rPr>
        <w:t>1</w:t>
      </w:r>
      <w:r>
        <w:rPr>
          <w:rFonts w:ascii="方正仿宋_GBK" w:hAnsi="宋体" w:eastAsia="方正仿宋_GBK"/>
        </w:rPr>
        <w:t>.</w:t>
      </w:r>
      <w:r>
        <w:rPr>
          <w:rFonts w:hint="eastAsia" w:ascii="方正仿宋_GBK" w:hAnsi="宋体" w:eastAsia="方正仿宋_GBK"/>
        </w:rPr>
        <w:t>应急物资及装备保障能力提升工程</w:t>
      </w:r>
      <w:bookmarkEnd w:id="144"/>
    </w:p>
    <w:p>
      <w:pPr>
        <w:snapToGrid w:val="0"/>
        <w:spacing w:line="579" w:lineRule="exact"/>
        <w:ind w:firstLine="640"/>
        <w:rPr>
          <w:rFonts w:ascii="方正仿宋_GBK" w:hAnsi="方正仿宋_GBK" w:cs="方正仿宋_GBK"/>
          <w:szCs w:val="32"/>
        </w:rPr>
      </w:pPr>
      <w:r>
        <w:rPr>
          <w:rFonts w:hint="eastAsia" w:ascii="方正仿宋_GBK" w:eastAsia="方正仿宋_GBK"/>
          <w:szCs w:val="32"/>
        </w:rPr>
        <w:t>完善我区应急物资储备库建设，提升应急物资保障能力；建设一个区级救灾物资、救援装备标准化储备仓库，完善管理规范及调拨机制，加强生活物资及基础救援装备储备能力建设；出台一套物资及装备生产企业转产能力评估、市场准入及代储机制，加强重特大突发事件救灾保障能力。</w:t>
      </w:r>
    </w:p>
    <w:p>
      <w:pPr>
        <w:pStyle w:val="6"/>
        <w:adjustRightInd w:val="0"/>
        <w:snapToGrid w:val="0"/>
        <w:spacing w:before="0" w:after="0" w:line="579" w:lineRule="exact"/>
        <w:ind w:firstLine="642" w:firstLineChars="200"/>
        <w:rPr>
          <w:rFonts w:ascii="方正仿宋_GBK" w:hAnsi="宋体" w:eastAsia="方正仿宋_GBK"/>
        </w:rPr>
      </w:pPr>
      <w:bookmarkStart w:id="145" w:name="_Toc87275381"/>
      <w:r>
        <w:rPr>
          <w:rFonts w:ascii="方正仿宋_GBK" w:hAnsi="宋体" w:eastAsia="方正仿宋_GBK"/>
        </w:rPr>
        <w:t>2.</w:t>
      </w:r>
      <w:r>
        <w:rPr>
          <w:rFonts w:hint="eastAsia" w:ascii="方正仿宋_GBK" w:hAnsi="宋体" w:eastAsia="方正仿宋_GBK"/>
        </w:rPr>
        <w:t>应急救援队伍保障能力提升工程</w:t>
      </w:r>
      <w:bookmarkEnd w:id="145"/>
    </w:p>
    <w:p>
      <w:pPr>
        <w:pStyle w:val="4"/>
        <w:spacing w:line="579" w:lineRule="exact"/>
        <w:ind w:firstLine="640"/>
        <w:rPr>
          <w:rFonts w:ascii="方正仿宋_GBK" w:eastAsia="方正仿宋_GBK"/>
          <w:szCs w:val="32"/>
        </w:rPr>
      </w:pPr>
      <w:r>
        <w:rPr>
          <w:rFonts w:hint="eastAsia" w:ascii="方正仿宋_GBK" w:eastAsia="方正仿宋_GBK"/>
          <w:szCs w:val="32"/>
        </w:rPr>
        <w:t>维护一套区级应急队伍数据库，包含公安、消防、武警、军队等骨干和突击力量资源库，专业应急救援队伍、各行业领域专家、社会救援力量、基层救援力量与一体的应急队伍资源库，对接市级相关平台，建设形成区域级应急救援队伍资源池，并长期维护和管理。</w:t>
      </w:r>
    </w:p>
    <w:p>
      <w:pPr>
        <w:pStyle w:val="6"/>
        <w:adjustRightInd w:val="0"/>
        <w:snapToGrid w:val="0"/>
        <w:spacing w:before="0" w:after="0" w:line="579" w:lineRule="exact"/>
        <w:ind w:firstLine="642" w:firstLineChars="200"/>
        <w:rPr>
          <w:rFonts w:ascii="方正仿宋_GBK" w:hAnsi="宋体" w:eastAsia="方正仿宋_GBK"/>
        </w:rPr>
      </w:pPr>
      <w:bookmarkStart w:id="146" w:name="_Toc87275382"/>
      <w:r>
        <w:rPr>
          <w:rFonts w:ascii="方正仿宋_GBK" w:hAnsi="宋体" w:eastAsia="方正仿宋_GBK"/>
        </w:rPr>
        <w:t>3.</w:t>
      </w:r>
      <w:r>
        <w:rPr>
          <w:rFonts w:hint="eastAsia" w:ascii="方正仿宋_GBK" w:hAnsi="宋体" w:eastAsia="方正仿宋_GBK"/>
        </w:rPr>
        <w:t>执法装备配备保障能力提升工程</w:t>
      </w:r>
      <w:bookmarkEnd w:id="146"/>
    </w:p>
    <w:p>
      <w:pPr>
        <w:pStyle w:val="4"/>
        <w:spacing w:line="579" w:lineRule="exact"/>
        <w:ind w:firstLine="640"/>
        <w:rPr>
          <w:rFonts w:ascii="方正仿宋_GBK" w:eastAsia="方正仿宋_GBK"/>
          <w:szCs w:val="32"/>
        </w:rPr>
      </w:pPr>
      <w:r>
        <w:rPr>
          <w:rFonts w:hint="eastAsia" w:ascii="方正仿宋_GBK" w:eastAsia="方正仿宋_GBK"/>
          <w:szCs w:val="32"/>
        </w:rPr>
        <w:t>按照应急管理综合行政执法装备标准，为区级、街道执法队伍配备统一着装，补充配备执法装备、执法车辆、远程监管设施、智能监管设施，强化突发事件应对和现场指挥能力建设。</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147" w:name="_Toc87275383"/>
      <w:bookmarkStart w:id="148" w:name="_Toc75618166"/>
      <w:r>
        <w:rPr>
          <w:rFonts w:hint="eastAsia" w:ascii="方正楷体_GBK" w:hAnsi="Times New Roman" w:eastAsia="方正楷体_GBK"/>
          <w:b w:val="0"/>
          <w:bCs/>
          <w:sz w:val="32"/>
          <w:szCs w:val="32"/>
        </w:rPr>
        <w:t>（三）指挥救援能力提升工程</w:t>
      </w:r>
      <w:bookmarkEnd w:id="147"/>
      <w:bookmarkEnd w:id="148"/>
    </w:p>
    <w:p>
      <w:pPr>
        <w:pStyle w:val="6"/>
        <w:adjustRightInd w:val="0"/>
        <w:snapToGrid w:val="0"/>
        <w:spacing w:before="0" w:after="0" w:line="579" w:lineRule="exact"/>
        <w:ind w:firstLine="642" w:firstLineChars="200"/>
        <w:rPr>
          <w:rFonts w:ascii="方正仿宋_GBK" w:hAnsi="宋体" w:eastAsia="方正仿宋_GBK"/>
        </w:rPr>
      </w:pPr>
      <w:bookmarkStart w:id="149" w:name="_Toc87275384"/>
      <w:r>
        <w:rPr>
          <w:rFonts w:ascii="方正仿宋_GBK" w:hAnsi="宋体" w:eastAsia="方正仿宋_GBK"/>
        </w:rPr>
        <w:t>1.</w:t>
      </w:r>
      <w:r>
        <w:rPr>
          <w:rFonts w:hint="eastAsia" w:ascii="方正仿宋_GBK" w:hAnsi="宋体" w:eastAsia="方正仿宋_GBK"/>
        </w:rPr>
        <w:t>区级高标准应急指挥中心建设工程</w:t>
      </w:r>
      <w:bookmarkEnd w:id="149"/>
    </w:p>
    <w:p>
      <w:pPr>
        <w:pStyle w:val="20"/>
        <w:spacing w:after="0" w:line="579" w:lineRule="exact"/>
        <w:ind w:firstLine="640" w:firstLineChars="200"/>
        <w:rPr>
          <w:rFonts w:ascii="方正仿宋_GBK" w:eastAsia="方正仿宋_GBK"/>
          <w:bCs/>
          <w:szCs w:val="32"/>
        </w:rPr>
      </w:pPr>
      <w:r>
        <w:rPr>
          <w:rFonts w:hint="eastAsia" w:ascii="方正仿宋_GBK" w:eastAsia="方正仿宋_GBK"/>
          <w:bCs/>
          <w:szCs w:val="32"/>
        </w:rPr>
        <w:t>按照统一指挥、专常兼备、反应灵敏、上下联动、平战结合的应急管理机制要求，依据集约建设原则，高标准建设系统先进、绿色节能、反应灵敏、协调有序、运转高效、功能齐全、保障有力的应急指挥中心。涵盖应急指挥中心实体大厅建设，功能区域及配套建设以及集约化的支撑系统建设，前面支撑我区应急救援和保障能力支撑。</w:t>
      </w:r>
    </w:p>
    <w:p>
      <w:pPr>
        <w:pStyle w:val="6"/>
        <w:adjustRightInd w:val="0"/>
        <w:snapToGrid w:val="0"/>
        <w:spacing w:before="0" w:after="0" w:line="579" w:lineRule="exact"/>
        <w:ind w:firstLine="642" w:firstLineChars="200"/>
        <w:rPr>
          <w:rFonts w:ascii="方正仿宋_GBK" w:eastAsia="方正仿宋_GBK"/>
        </w:rPr>
      </w:pPr>
      <w:bookmarkStart w:id="150" w:name="_Toc87275385"/>
      <w:r>
        <w:rPr>
          <w:rFonts w:ascii="方正仿宋_GBK" w:eastAsia="方正仿宋_GBK"/>
        </w:rPr>
        <w:t>2.</w:t>
      </w:r>
      <w:r>
        <w:rPr>
          <w:rFonts w:hint="eastAsia" w:ascii="方正仿宋_GBK" w:eastAsia="方正仿宋_GBK"/>
        </w:rPr>
        <w:t>基层完备的应急救援能力建设工程</w:t>
      </w:r>
      <w:bookmarkEnd w:id="150"/>
    </w:p>
    <w:p>
      <w:pPr>
        <w:pStyle w:val="20"/>
        <w:spacing w:after="0" w:line="579" w:lineRule="exact"/>
        <w:ind w:firstLine="640" w:firstLineChars="200"/>
        <w:rPr>
          <w:rFonts w:ascii="方正仿宋_GBK" w:eastAsia="方正仿宋_GBK"/>
          <w:bCs/>
          <w:szCs w:val="32"/>
        </w:rPr>
      </w:pPr>
      <w:r>
        <w:rPr>
          <w:rFonts w:hint="eastAsia" w:ascii="方正仿宋_GBK" w:eastAsia="方正仿宋_GBK"/>
          <w:szCs w:val="32"/>
        </w:rPr>
        <w:t>统一建设基层移动智能设备小平台，强化非常态下的事件定位、图像回传、音视频会商、信息直报等能力建设。统一配备应急救援车辆，提升基层应急物资及装备转运能力建设。基层</w:t>
      </w:r>
      <w:r>
        <w:rPr>
          <w:rFonts w:hint="eastAsia" w:ascii="方正仿宋_GBK" w:hAnsi="方正仿宋_GBK" w:eastAsia="方正仿宋_GBK" w:cs="方正仿宋_GBK"/>
          <w:szCs w:val="32"/>
        </w:rPr>
        <w:t>应急管理综合执法配套工程。按照应急管理综合行政执法装备标准，为基层执法队伍配备统一着装，补充配备执法装备、执法车辆、远程监管设施、智能监管设施。</w:t>
      </w:r>
      <w:r>
        <w:rPr>
          <w:rFonts w:hint="eastAsia" w:ascii="方正仿宋_GBK" w:eastAsia="方正仿宋_GBK"/>
          <w:szCs w:val="32"/>
        </w:rPr>
        <w:t>统一打造基层应急救援知识宣教场所，提升基层应急救援队伍能力建设。</w:t>
      </w:r>
      <w:r>
        <w:rPr>
          <w:rFonts w:hint="eastAsia" w:ascii="方正仿宋_GBK" w:hAnsi="方正仿宋_GBK" w:eastAsia="方正仿宋_GBK" w:cs="方正仿宋_GBK"/>
          <w:szCs w:val="32"/>
        </w:rPr>
        <w:t>建设基层应急指挥标准化工程,完善基层应急指挥平台建设，配置统一的硬件设施和软件系统。</w:t>
      </w:r>
    </w:p>
    <w:p>
      <w:pPr>
        <w:pStyle w:val="6"/>
        <w:adjustRightInd w:val="0"/>
        <w:snapToGrid w:val="0"/>
        <w:spacing w:before="0" w:after="0" w:line="579" w:lineRule="exact"/>
        <w:ind w:firstLine="642" w:firstLineChars="200"/>
        <w:rPr>
          <w:rFonts w:ascii="方正仿宋_GBK" w:hAnsi="宋体" w:eastAsia="方正仿宋_GBK"/>
        </w:rPr>
      </w:pPr>
      <w:bookmarkStart w:id="151" w:name="_Toc87275386"/>
      <w:bookmarkStart w:id="152" w:name="_Toc12200231"/>
      <w:r>
        <w:rPr>
          <w:rFonts w:ascii="方正仿宋_GBK" w:hAnsi="宋体" w:eastAsia="方正仿宋_GBK"/>
        </w:rPr>
        <w:t>3.</w:t>
      </w:r>
      <w:r>
        <w:rPr>
          <w:rFonts w:hint="eastAsia" w:ascii="方正仿宋_GBK" w:hAnsi="宋体" w:eastAsia="方正仿宋_GBK"/>
        </w:rPr>
        <w:t>重特大突发事件应急运输能力提升工程</w:t>
      </w:r>
      <w:bookmarkEnd w:id="151"/>
    </w:p>
    <w:p>
      <w:pPr>
        <w:pStyle w:val="20"/>
        <w:spacing w:after="0" w:line="579" w:lineRule="exact"/>
        <w:ind w:firstLine="640" w:firstLineChars="200"/>
        <w:rPr>
          <w:rFonts w:ascii="方正仿宋_GBK" w:eastAsia="方正仿宋_GBK"/>
          <w:szCs w:val="32"/>
        </w:rPr>
      </w:pPr>
      <w:r>
        <w:rPr>
          <w:rFonts w:hint="eastAsia" w:ascii="方正仿宋_GBK" w:hAnsi="宋体" w:eastAsia="方正仿宋_GBK"/>
          <w:bCs/>
          <w:szCs w:val="32"/>
        </w:rPr>
        <w:t>贯彻党的十九大和十九届五中全会关于统筹发展和安全，建设更高水平的平安中国，推进区域协调发展的重要精神，夯实西部大开发和成渝地区双城经济圈战略实施，紧抓机制改革新机遇，建立西部区域重特大突发事件应急运输保障能力工程。依托重庆市客运枢纽网络、货运枢纽网络以及配套设施建设，综合机场、铁路、公路、水运等，研究和制定以重庆为中心，覆盖成渝地区乃至西部地区，辐射全国的应急资源运输能力提升方案，推进应急立体化运输保障能力建设。建立和完善应急物资综合交通运输保障大通道，综合交通枢纽网络，加快城市群和都市圈轨道交通网络化，使我区在应对重特大突发事件时，进行跨省际、跨层级、跨平台应急救援队伍、物资、装备调度转运能力得到极大提升，最大化打通应急资源运输保障的生命救援大通道。</w:t>
      </w:r>
    </w:p>
    <w:bookmarkEnd w:id="152"/>
    <w:p>
      <w:pPr>
        <w:pStyle w:val="5"/>
        <w:keepNext/>
        <w:keepLines/>
        <w:spacing w:before="0" w:line="579" w:lineRule="exact"/>
        <w:ind w:firstLine="640" w:firstLineChars="200"/>
        <w:rPr>
          <w:rFonts w:ascii="方正楷体_GBK" w:hAnsi="Times New Roman" w:eastAsia="方正楷体_GBK"/>
          <w:b w:val="0"/>
          <w:bCs/>
          <w:sz w:val="32"/>
          <w:szCs w:val="32"/>
        </w:rPr>
      </w:pPr>
      <w:bookmarkStart w:id="153" w:name="_Toc87275387"/>
      <w:bookmarkStart w:id="154" w:name="_Toc75618167"/>
      <w:bookmarkStart w:id="155" w:name="_Toc12200237"/>
      <w:r>
        <w:rPr>
          <w:rFonts w:hint="eastAsia" w:ascii="方正楷体_GBK" w:hAnsi="Times New Roman" w:eastAsia="方正楷体_GBK"/>
          <w:b w:val="0"/>
          <w:bCs/>
          <w:sz w:val="32"/>
          <w:szCs w:val="32"/>
        </w:rPr>
        <w:t>（四）智慧应急能力提升工程</w:t>
      </w:r>
      <w:bookmarkEnd w:id="153"/>
      <w:bookmarkEnd w:id="154"/>
    </w:p>
    <w:p>
      <w:pPr>
        <w:pStyle w:val="6"/>
        <w:adjustRightInd w:val="0"/>
        <w:snapToGrid w:val="0"/>
        <w:spacing w:before="0" w:after="0" w:line="579" w:lineRule="exact"/>
        <w:ind w:firstLine="642" w:firstLineChars="200"/>
        <w:rPr>
          <w:rFonts w:ascii="方正仿宋_GBK" w:hAnsi="宋体" w:eastAsia="方正仿宋_GBK"/>
        </w:rPr>
      </w:pPr>
      <w:bookmarkStart w:id="156" w:name="_Toc87275388"/>
      <w:r>
        <w:rPr>
          <w:rFonts w:hint="eastAsia" w:ascii="方正仿宋_GBK" w:hAnsi="宋体" w:eastAsia="方正仿宋_GBK"/>
        </w:rPr>
        <w:t>1.应急感知能力提升工程</w:t>
      </w:r>
      <w:bookmarkEnd w:id="156"/>
    </w:p>
    <w:p>
      <w:pPr>
        <w:pStyle w:val="67"/>
        <w:spacing w:line="579" w:lineRule="exact"/>
        <w:ind w:firstLine="640"/>
        <w:rPr>
          <w:rFonts w:ascii="方正仿宋_GBK" w:eastAsia="方正仿宋_GBK"/>
          <w:bCs/>
          <w:sz w:val="32"/>
          <w:szCs w:val="32"/>
        </w:rPr>
      </w:pPr>
      <w:r>
        <w:rPr>
          <w:rFonts w:hint="eastAsia" w:ascii="方正仿宋_GBK" w:eastAsia="方正仿宋_GBK"/>
          <w:bCs/>
          <w:sz w:val="32"/>
          <w:szCs w:val="32"/>
        </w:rPr>
        <w:t>通过物联网、卫星遥感、视频识别、5G等技术，形成空、天、地一体化全覆盖的自然灾害和生产安全事故监测感知网络；完善各领域自然灾害、危险化学品、油气管道、烟花爆竹、工贸等重点行业安全风险监测感知网络，整合汇聚自然灾害、安全生产、交通运输、公共卫生等行业领域监测子网数据，建设全区安全风险监测预警体系。</w:t>
      </w:r>
    </w:p>
    <w:p>
      <w:pPr>
        <w:pStyle w:val="6"/>
        <w:adjustRightInd w:val="0"/>
        <w:snapToGrid w:val="0"/>
        <w:spacing w:before="0" w:after="0" w:line="579" w:lineRule="exact"/>
        <w:ind w:firstLine="642" w:firstLineChars="200"/>
        <w:rPr>
          <w:rFonts w:ascii="方正仿宋_GBK" w:hAnsi="宋体" w:eastAsia="方正仿宋_GBK"/>
        </w:rPr>
      </w:pPr>
      <w:bookmarkStart w:id="157" w:name="_Toc10461542"/>
      <w:bookmarkStart w:id="158" w:name="_Toc12200228"/>
      <w:bookmarkStart w:id="159" w:name="_Toc87275389"/>
      <w:r>
        <w:rPr>
          <w:rFonts w:hint="eastAsia" w:ascii="方正仿宋_GBK" w:hAnsi="宋体" w:eastAsia="方正仿宋_GBK"/>
        </w:rPr>
        <w:t>2.通信保障能力提升工程</w:t>
      </w:r>
      <w:bookmarkEnd w:id="157"/>
      <w:bookmarkEnd w:id="158"/>
      <w:bookmarkEnd w:id="159"/>
    </w:p>
    <w:p>
      <w:pPr>
        <w:pStyle w:val="67"/>
        <w:spacing w:line="579" w:lineRule="exact"/>
        <w:ind w:firstLine="640"/>
        <w:rPr>
          <w:rFonts w:ascii="方正仿宋_GBK" w:hAnsi="Times New Roman" w:eastAsia="方正仿宋_GBK"/>
          <w:sz w:val="32"/>
          <w:szCs w:val="32"/>
        </w:rPr>
      </w:pPr>
      <w:r>
        <w:rPr>
          <w:rFonts w:hint="eastAsia" w:ascii="方正仿宋_GBK" w:eastAsia="方正仿宋_GBK"/>
          <w:bCs/>
          <w:sz w:val="32"/>
          <w:szCs w:val="32"/>
        </w:rPr>
        <w:t>在指挥信息网建设基础上，完成指挥信息网与消防指挥调度网、地震监测预警网的全面融合，进一步开展指挥信息网深度应用、充分释放指挥信息网的优势能力；建设应急管理日常办公和应急救援现场公专统一、平战结合、宽窄融合的应急指挥无线通信网。</w:t>
      </w:r>
    </w:p>
    <w:p>
      <w:pPr>
        <w:pStyle w:val="6"/>
        <w:adjustRightInd w:val="0"/>
        <w:snapToGrid w:val="0"/>
        <w:spacing w:before="0" w:after="0" w:line="579" w:lineRule="exact"/>
        <w:ind w:firstLine="642" w:firstLineChars="200"/>
        <w:rPr>
          <w:rFonts w:ascii="方正仿宋_GBK" w:eastAsia="方正仿宋_GBK"/>
          <w:bCs/>
        </w:rPr>
      </w:pPr>
      <w:bookmarkStart w:id="160" w:name="_Toc87275390"/>
      <w:r>
        <w:rPr>
          <w:rFonts w:hint="eastAsia" w:ascii="方正仿宋_GBK" w:hAnsi="宋体" w:eastAsia="方正仿宋_GBK"/>
        </w:rPr>
        <w:t>3</w:t>
      </w:r>
      <w:r>
        <w:rPr>
          <w:rFonts w:ascii="方正仿宋_GBK" w:hAnsi="宋体" w:eastAsia="方正仿宋_GBK"/>
        </w:rPr>
        <w:t>.</w:t>
      </w:r>
      <w:r>
        <w:rPr>
          <w:rFonts w:hint="eastAsia" w:ascii="方正仿宋_GBK" w:eastAsia="方正仿宋_GBK"/>
          <w:bCs/>
        </w:rPr>
        <w:t>应急管理数据支撑体系建设。</w:t>
      </w:r>
      <w:bookmarkEnd w:id="160"/>
    </w:p>
    <w:p>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基于两江新区政务信息资源共享平台成果，完善应急管理数据资源体系，建设我区应急管理数据治理平台。实现与部级、重庆市应急管理数据治理系统之间的数据对接，实现与两江新区政务信息资源共享平台的数据共享交换，实现为应急管理部门内部业务系统提供数据服务支撑，实现与外部其他部门业务系统之间的数据共享交换。</w:t>
      </w:r>
    </w:p>
    <w:p>
      <w:pPr>
        <w:pStyle w:val="6"/>
        <w:adjustRightInd w:val="0"/>
        <w:snapToGrid w:val="0"/>
        <w:spacing w:before="0" w:after="0" w:line="579" w:lineRule="exact"/>
        <w:ind w:firstLine="642" w:firstLineChars="200"/>
        <w:rPr>
          <w:rFonts w:ascii="方正仿宋_GBK" w:eastAsia="方正仿宋_GBK"/>
          <w:b w:val="0"/>
        </w:rPr>
      </w:pPr>
      <w:bookmarkStart w:id="161" w:name="_Toc87275391"/>
      <w:r>
        <w:rPr>
          <w:rFonts w:hint="eastAsia" w:ascii="方正仿宋_GBK" w:eastAsia="方正仿宋_GBK"/>
        </w:rPr>
        <w:t>4</w:t>
      </w:r>
      <w:r>
        <w:rPr>
          <w:rFonts w:ascii="方正仿宋_GBK" w:eastAsia="方正仿宋_GBK"/>
        </w:rPr>
        <w:t>.</w:t>
      </w:r>
      <w:r>
        <w:rPr>
          <w:rFonts w:hint="eastAsia" w:ascii="方正仿宋_GBK" w:eastAsia="方正仿宋_GBK"/>
        </w:rPr>
        <w:t>应急指挥综合业务平台建设工程</w:t>
      </w:r>
      <w:bookmarkEnd w:id="161"/>
    </w:p>
    <w:p>
      <w:pPr>
        <w:pStyle w:val="67"/>
        <w:spacing w:line="579" w:lineRule="exact"/>
        <w:ind w:firstLine="640"/>
        <w:rPr>
          <w:rFonts w:ascii="方正仿宋_GBK" w:eastAsia="方正仿宋_GBK"/>
          <w:sz w:val="32"/>
          <w:szCs w:val="32"/>
        </w:rPr>
      </w:pPr>
      <w:r>
        <w:rPr>
          <w:rFonts w:hint="eastAsia" w:ascii="方正仿宋_GBK" w:hAnsi="Times New Roman" w:eastAsia="方正仿宋_GBK"/>
          <w:bCs/>
          <w:sz w:val="32"/>
          <w:szCs w:val="32"/>
        </w:rPr>
        <w:t>依托应急指挥信息网，</w:t>
      </w:r>
      <w:r>
        <w:rPr>
          <w:rFonts w:hint="eastAsia" w:ascii="方正仿宋_GBK" w:hAnsi="Times New Roman" w:eastAsia="方正仿宋_GBK"/>
          <w:sz w:val="32"/>
          <w:szCs w:val="32"/>
        </w:rPr>
        <w:t>建设</w:t>
      </w:r>
      <w:r>
        <w:rPr>
          <w:rFonts w:hint="eastAsia" w:ascii="方正仿宋_GBK" w:hAnsi="Times New Roman" w:eastAsia="方正仿宋_GBK"/>
          <w:bCs/>
          <w:sz w:val="32"/>
          <w:szCs w:val="32"/>
        </w:rPr>
        <w:t>应急指挥综合业务平台系统。突出信息全面汇聚、快速展现、上传下达、协同会商、专题研判、指挥调度和辅助决策等能力，实现我区应急救援智能化、扁平化和一体化作战指挥。</w:t>
      </w:r>
    </w:p>
    <w:p>
      <w:pPr>
        <w:pStyle w:val="6"/>
        <w:adjustRightInd w:val="0"/>
        <w:snapToGrid w:val="0"/>
        <w:spacing w:before="0" w:after="0" w:line="579" w:lineRule="exact"/>
        <w:ind w:firstLine="642" w:firstLineChars="200"/>
        <w:rPr>
          <w:rFonts w:ascii="方正仿宋_GBK" w:eastAsia="方正仿宋_GBK"/>
          <w:b w:val="0"/>
        </w:rPr>
      </w:pPr>
      <w:bookmarkStart w:id="162" w:name="_Toc87275392"/>
      <w:r>
        <w:rPr>
          <w:rFonts w:hint="eastAsia" w:ascii="方正仿宋_GBK" w:eastAsia="方正仿宋_GBK"/>
        </w:rPr>
        <w:t>5.自然灾害综合风险监测预警系统建设工程</w:t>
      </w:r>
      <w:bookmarkEnd w:id="162"/>
    </w:p>
    <w:p>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自然灾害监测预警系统，结合我区自然灾害种类和特征，针对地震、地质、气象、水旱、森林火灾等灾害，利用风险评估、趋势推演、多灾种灾害链分析以及灾损评估等各类模型，提升自然灾害综合风险评估和预警能力。建设安全生产风险监测预警系统，实现对高危行业企业安全风险的监测、评估、预警和趋势分析，强化安全生产风险的分类分级管理，为重点监管、精准执法、科学施策提供支撑，有效遏制重特大事故发生。</w:t>
      </w:r>
    </w:p>
    <w:p>
      <w:pPr>
        <w:pStyle w:val="6"/>
        <w:adjustRightInd w:val="0"/>
        <w:snapToGrid w:val="0"/>
        <w:spacing w:before="0" w:after="0" w:line="579" w:lineRule="exact"/>
        <w:ind w:firstLine="642" w:firstLineChars="200"/>
        <w:rPr>
          <w:rFonts w:ascii="方正仿宋_GBK" w:eastAsia="方正仿宋_GBK"/>
          <w:b w:val="0"/>
        </w:rPr>
      </w:pPr>
      <w:bookmarkStart w:id="163" w:name="_Toc87275393"/>
      <w:r>
        <w:rPr>
          <w:rFonts w:hint="eastAsia" w:ascii="方正仿宋_GBK" w:eastAsia="方正仿宋_GBK"/>
        </w:rPr>
        <w:t>6</w:t>
      </w:r>
      <w:r>
        <w:rPr>
          <w:rFonts w:ascii="方正仿宋_GBK" w:eastAsia="方正仿宋_GBK"/>
        </w:rPr>
        <w:t>.</w:t>
      </w:r>
      <w:r>
        <w:rPr>
          <w:rFonts w:hint="eastAsia" w:ascii="方正仿宋_GBK" w:eastAsia="方正仿宋_GBK"/>
        </w:rPr>
        <w:t>安全生产监测预警系统建设工程</w:t>
      </w:r>
      <w:bookmarkEnd w:id="163"/>
    </w:p>
    <w:p>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全区覆盖的安全生产智慧化监测预警体系，推进安全生产监测预警、城市安全风险监测预警等建设，开展全业务域安全生产感知数据接入汇聚，构造安全生产灾害事故风险监测预警平台，提高监测预警科学性、精准性和时效性。</w:t>
      </w:r>
    </w:p>
    <w:p>
      <w:pPr>
        <w:pStyle w:val="6"/>
        <w:adjustRightInd w:val="0"/>
        <w:snapToGrid w:val="0"/>
        <w:spacing w:before="0" w:after="0" w:line="579" w:lineRule="exact"/>
        <w:ind w:firstLine="642" w:firstLineChars="200"/>
        <w:rPr>
          <w:rFonts w:ascii="方正仿宋_GBK" w:eastAsia="方正仿宋_GBK"/>
          <w:b w:val="0"/>
        </w:rPr>
      </w:pPr>
      <w:bookmarkStart w:id="164" w:name="_Toc87275394"/>
      <w:r>
        <w:rPr>
          <w:rFonts w:hint="eastAsia" w:ascii="方正仿宋_GBK" w:eastAsia="方正仿宋_GBK"/>
        </w:rPr>
        <w:t>7</w:t>
      </w:r>
      <w:r>
        <w:rPr>
          <w:rFonts w:ascii="方正仿宋_GBK" w:eastAsia="方正仿宋_GBK"/>
        </w:rPr>
        <w:t>.</w:t>
      </w:r>
      <w:r>
        <w:rPr>
          <w:rFonts w:hint="eastAsia" w:ascii="方正仿宋_GBK" w:eastAsia="方正仿宋_GBK"/>
        </w:rPr>
        <w:t>智能化应急决策支撑平台建设工程</w:t>
      </w:r>
      <w:bookmarkEnd w:id="164"/>
    </w:p>
    <w:p>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全过程的智慧化辅助决策体系，构建灾害事故模拟仿真平台，实现灾情全风险、全领域、全过程的态势感知和党、政、军、民应急救援行动“一张图”指挥调度，打造应急指挥智能参谋助手。构建全区各有关部门、社会力量、企业产能全面实时汇聚的应急资源管理平台，做到资源全掌控、调度全统一、过程可追溯，显著提升应急保障能力。</w:t>
      </w:r>
    </w:p>
    <w:p>
      <w:pPr>
        <w:pStyle w:val="6"/>
        <w:adjustRightInd w:val="0"/>
        <w:snapToGrid w:val="0"/>
        <w:spacing w:before="0" w:after="0" w:line="579" w:lineRule="exact"/>
        <w:ind w:firstLine="642" w:firstLineChars="200"/>
        <w:rPr>
          <w:rFonts w:ascii="方正仿宋_GBK" w:eastAsia="方正仿宋_GBK"/>
          <w:b w:val="0"/>
        </w:rPr>
      </w:pPr>
      <w:bookmarkStart w:id="165" w:name="_Toc87275395"/>
      <w:r>
        <w:rPr>
          <w:rFonts w:hint="eastAsia" w:ascii="方正仿宋_GBK" w:eastAsia="方正仿宋_GBK"/>
        </w:rPr>
        <w:t>8</w:t>
      </w:r>
      <w:r>
        <w:rPr>
          <w:rFonts w:ascii="方正仿宋_GBK" w:eastAsia="方正仿宋_GBK"/>
        </w:rPr>
        <w:t>.</w:t>
      </w:r>
      <w:r>
        <w:rPr>
          <w:rFonts w:hint="eastAsia" w:ascii="方正仿宋_GBK" w:eastAsia="方正仿宋_GBK"/>
        </w:rPr>
        <w:t>一体化监管执法系统建设工程</w:t>
      </w:r>
      <w:bookmarkEnd w:id="165"/>
    </w:p>
    <w:p>
      <w:pPr>
        <w:pStyle w:val="67"/>
        <w:spacing w:line="579" w:lineRule="exact"/>
        <w:ind w:firstLine="640"/>
        <w:rPr>
          <w:rFonts w:ascii="方正仿宋_GBK" w:hAnsi="Times New Roman" w:eastAsia="方正仿宋_GBK"/>
          <w:bCs/>
          <w:sz w:val="32"/>
          <w:szCs w:val="32"/>
        </w:rPr>
      </w:pPr>
      <w:r>
        <w:rPr>
          <w:rFonts w:hint="eastAsia" w:ascii="方正仿宋_GBK" w:hAnsi="Times New Roman" w:eastAsia="方正仿宋_GBK"/>
          <w:bCs/>
          <w:sz w:val="32"/>
          <w:szCs w:val="32"/>
        </w:rPr>
        <w:t>建设一体化智慧监管执法体系，推动一体化政务服务平台和“互联网+监管”“互联网+执法”智能化升级和深度应用，提升精准监管水平。</w:t>
      </w:r>
    </w:p>
    <w:bookmarkEnd w:id="155"/>
    <w:p>
      <w:pPr>
        <w:pStyle w:val="2"/>
        <w:keepNext/>
        <w:keepLines/>
        <w:spacing w:before="0" w:line="579" w:lineRule="exact"/>
        <w:ind w:left="640" w:leftChars="200"/>
        <w:rPr>
          <w:rFonts w:ascii="方正黑体_GBK" w:hAnsi="Times New Roman" w:eastAsia="方正黑体_GBK"/>
          <w:b w:val="0"/>
          <w:bCs/>
          <w:kern w:val="44"/>
        </w:rPr>
      </w:pPr>
      <w:bookmarkStart w:id="166" w:name="_Toc75618168"/>
      <w:bookmarkStart w:id="167" w:name="_Toc87275396"/>
      <w:r>
        <w:rPr>
          <w:rFonts w:hint="eastAsia" w:ascii="方正黑体_GBK" w:hAnsi="Times New Roman" w:eastAsia="方正黑体_GBK"/>
          <w:b w:val="0"/>
          <w:bCs/>
          <w:kern w:val="44"/>
        </w:rPr>
        <w:t>六、保障措施</w:t>
      </w:r>
      <w:bookmarkEnd w:id="136"/>
      <w:bookmarkEnd w:id="166"/>
      <w:bookmarkEnd w:id="167"/>
    </w:p>
    <w:p>
      <w:pPr>
        <w:pStyle w:val="5"/>
        <w:keepNext/>
        <w:keepLines/>
        <w:spacing w:before="0" w:line="579" w:lineRule="exact"/>
        <w:ind w:firstLine="640" w:firstLineChars="200"/>
        <w:rPr>
          <w:rFonts w:ascii="方正楷体_GBK" w:hAnsi="Times New Roman" w:eastAsia="方正楷体_GBK"/>
          <w:b w:val="0"/>
          <w:bCs/>
          <w:sz w:val="32"/>
          <w:szCs w:val="32"/>
        </w:rPr>
      </w:pPr>
      <w:bookmarkStart w:id="168" w:name="_Toc87275397"/>
      <w:bookmarkStart w:id="169" w:name="_Toc75618169"/>
      <w:bookmarkStart w:id="170" w:name="_Toc12200258"/>
      <w:r>
        <w:rPr>
          <w:rFonts w:hint="eastAsia" w:ascii="方正楷体_GBK" w:hAnsi="Times New Roman" w:eastAsia="方正楷体_GBK"/>
          <w:b w:val="0"/>
          <w:bCs/>
          <w:sz w:val="32"/>
          <w:szCs w:val="32"/>
        </w:rPr>
        <w:t>（一）加强领导组织</w:t>
      </w:r>
      <w:bookmarkEnd w:id="168"/>
      <w:bookmarkEnd w:id="169"/>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区安委会、减灾委要加强规划实施的统筹协调，注重总体设计，在制度体系建设、预案修编演练、突发事件防范应对、风险管理、应急物资储备、人员队伍建设等方面进行决策部署，督促检查重要工作的落实情况。牵头单位、负责单位要切实履行组织协调职责，参与单位积极配合，细化落实工作责任和建设任务。重点项目责任单位要抓紧开展项目可行性研究和项目申报工作，加强项目建设管理，确保项目顺利实施。要完善应急体系重大项目建设管理机制，切实履行职能职责，一级抓一级，做到各司其职、守土有责、责任到人。</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171" w:name="_Toc75618170"/>
      <w:bookmarkStart w:id="172" w:name="_Toc87275398"/>
      <w:r>
        <w:rPr>
          <w:rFonts w:hint="eastAsia" w:ascii="方正楷体_GBK" w:hAnsi="Times New Roman" w:eastAsia="方正楷体_GBK"/>
          <w:b w:val="0"/>
          <w:bCs/>
          <w:sz w:val="32"/>
          <w:szCs w:val="32"/>
        </w:rPr>
        <w:t>（二）加强机制</w:t>
      </w:r>
      <w:bookmarkEnd w:id="170"/>
      <w:r>
        <w:rPr>
          <w:rFonts w:hint="eastAsia" w:ascii="方正楷体_GBK" w:hAnsi="Times New Roman" w:eastAsia="方正楷体_GBK"/>
          <w:b w:val="0"/>
          <w:bCs/>
          <w:sz w:val="32"/>
          <w:szCs w:val="32"/>
        </w:rPr>
        <w:t>保障</w:t>
      </w:r>
      <w:bookmarkEnd w:id="171"/>
      <w:bookmarkEnd w:id="172"/>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建立统一完备的信息化工作机制，明确职责分工，明确市级与区级的事权关系，加强与同级相关部门的协调沟通。建设信息化配套管理制度，为信息化快速推进提供坚强保障。完善项目管理，健全信息化项目管理和专家咨询制度，强化第三方测评、检验和评估在项目检查、验收中的作用。加强绩效评估，建立应急管理信息化建设与应用绩效指标体系。加强廉政风险管控，强化项目审批和管理各环节的记录、巡查、评估和管控。</w:t>
      </w:r>
    </w:p>
    <w:p>
      <w:pPr>
        <w:pStyle w:val="5"/>
        <w:keepNext/>
        <w:keepLines/>
        <w:spacing w:before="0" w:line="579" w:lineRule="exact"/>
        <w:ind w:firstLine="640" w:firstLineChars="200"/>
        <w:rPr>
          <w:rFonts w:ascii="方正楷体_GBK" w:hAnsi="Times New Roman" w:eastAsia="方正楷体_GBK"/>
          <w:b w:val="0"/>
          <w:bCs/>
          <w:sz w:val="32"/>
          <w:szCs w:val="32"/>
        </w:rPr>
      </w:pPr>
      <w:bookmarkStart w:id="173" w:name="_Toc87275399"/>
      <w:bookmarkStart w:id="174" w:name="_Toc12200259"/>
      <w:bookmarkStart w:id="175" w:name="_Toc75618171"/>
      <w:r>
        <w:rPr>
          <w:rFonts w:hint="eastAsia" w:ascii="方正楷体_GBK" w:hAnsi="Times New Roman" w:eastAsia="方正楷体_GBK"/>
          <w:b w:val="0"/>
          <w:bCs/>
          <w:sz w:val="32"/>
          <w:szCs w:val="32"/>
        </w:rPr>
        <w:t>（三）多元科研汇集</w:t>
      </w:r>
      <w:bookmarkEnd w:id="173"/>
      <w:bookmarkEnd w:id="174"/>
      <w:bookmarkEnd w:id="175"/>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加强技术力量整合，推进与相关领域知名高校、科研院所及信息技术领军企业的长期稳定合作。加强先进技术融合，促进云计算、大数据、物联网、人工智能、移动互联等新一代信息技术与应急管理深度融合集成，开展新技术应用示范工程，推进军民融合。加强全员信息化素质培训教育，建立复合型、创新型核心人才队伍。加强关键技术攻关，充分与应急管理科技发展相结合，组织实施重大专项与重点研发计划，支持科技成果的应用转化。加强产业生态构建，充分发挥市场主体作用，引导应急管理信息服务领域产学研用合作。探索廉政风险可控的内外合作机制，通过政府采购服务外包、社会众包等方式，构建政府、市场、社会等多元主体参与的数据融合开放与开发应用新机制。采用政策、标准、资金补助等多种形式，吸引社会力量参与应急管理信息化建设，培育一批合作意愿强烈、技术实力雄厚的领军企业。</w:t>
      </w:r>
      <w:bookmarkEnd w:id="2"/>
      <w:bookmarkEnd w:id="3"/>
    </w:p>
    <w:p>
      <w:pPr>
        <w:pStyle w:val="5"/>
        <w:keepNext/>
        <w:keepLines/>
        <w:spacing w:before="0" w:line="579" w:lineRule="exact"/>
        <w:ind w:firstLine="640" w:firstLineChars="200"/>
        <w:rPr>
          <w:rFonts w:ascii="方正楷体_GBK" w:hAnsi="Times New Roman" w:eastAsia="方正楷体_GBK"/>
          <w:b w:val="0"/>
          <w:bCs/>
          <w:sz w:val="32"/>
          <w:szCs w:val="32"/>
        </w:rPr>
      </w:pPr>
      <w:bookmarkStart w:id="176" w:name="_Toc75618172"/>
      <w:bookmarkStart w:id="177" w:name="_Toc87275400"/>
      <w:r>
        <w:rPr>
          <w:rFonts w:hint="eastAsia" w:ascii="方正楷体_GBK" w:hAnsi="Times New Roman" w:eastAsia="方正楷体_GBK"/>
          <w:b w:val="0"/>
          <w:bCs/>
          <w:sz w:val="32"/>
          <w:szCs w:val="32"/>
        </w:rPr>
        <w:t>（四）加强经费保障</w:t>
      </w:r>
      <w:bookmarkEnd w:id="176"/>
      <w:bookmarkEnd w:id="177"/>
    </w:p>
    <w:p>
      <w:pPr>
        <w:pStyle w:val="20"/>
        <w:spacing w:after="0" w:line="579" w:lineRule="exact"/>
        <w:ind w:firstLine="640" w:firstLineChars="200"/>
        <w:rPr>
          <w:rFonts w:ascii="方正仿宋_GBK" w:eastAsia="方正仿宋_GBK"/>
          <w:szCs w:val="32"/>
        </w:rPr>
      </w:pPr>
      <w:r>
        <w:rPr>
          <w:rFonts w:hint="eastAsia" w:ascii="方正仿宋_GBK" w:eastAsia="方正仿宋_GBK"/>
          <w:szCs w:val="32"/>
        </w:rPr>
        <w:t>按照事权与支出责任相适应的原则，各级财政对规划实施予以合理保障。统筹资金使用，整合优化资源，形成政策合力。发挥政策导向作用，引导多元化资金投入。加大政策支持力度，落实项目资金来源，健全长效规范的应急保障资金投入和拨付机制，确保项目建设保障资金落到实处。重点项目建成后需安排日常运行和维护资金的，按预算管理规定申请办理。要创新资金筹集渠道，引入市场机制，积极引导民间资本参与应急体系建设，探索政府、企业、社会相结合的应急保障资金投入机制。</w:t>
      </w:r>
    </w:p>
    <w:p>
      <w:pPr>
        <w:pStyle w:val="20"/>
        <w:spacing w:after="0"/>
        <w:rPr>
          <w:rFonts w:ascii="方正仿宋_GBK" w:eastAsia="方正仿宋_GBK"/>
        </w:rPr>
      </w:pPr>
    </w:p>
    <w:sectPr>
      <w:headerReference r:id="rId4" w:type="default"/>
      <w:footerReference r:id="rId5" w:type="default"/>
      <w:pgSz w:w="11906" w:h="16838"/>
      <w:pgMar w:top="1985" w:right="1588" w:bottom="2098" w:left="1474" w:header="851" w:footer="992" w:gutter="0"/>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Arial">
    <w:altName w:val="Times New Roman"/>
    <w:panose1 w:val="020B0604020202020204"/>
    <w:charset w:val="00"/>
    <w:family w:val="swiss"/>
    <w:pitch w:val="default"/>
    <w:sig w:usb0="00000000" w:usb1="00000000" w:usb2="00000009" w:usb3="00000000" w:csb0="000001FF" w:csb1="00000000"/>
  </w:font>
  <w:font w:name="等线">
    <w:altName w:val="华文仿宋"/>
    <w:panose1 w:val="02010600030101010101"/>
    <w:charset w:val="86"/>
    <w:family w:val="auto"/>
    <w:pitch w:val="default"/>
    <w:sig w:usb0="00000000" w:usb1="00000000" w:usb2="00000016" w:usb3="00000000" w:csb0="0004000F" w:csb1="00000000"/>
  </w:font>
  <w:font w:name="等线">
    <w:altName w:val="华文仿宋"/>
    <w:panose1 w:val="00000000000000000000"/>
    <w:charset w:val="86"/>
    <w:family w:val="auto"/>
    <w:pitch w:val="default"/>
    <w:sig w:usb0="00000000" w:usb1="00000000" w:usb2="00000000" w:usb3="00000000" w:csb0="00000000" w:csb1="00000000"/>
  </w:font>
  <w:font w:name="等线">
    <w:altName w:val="URW Bookman"/>
    <w:panose1 w:val="00000000000000000000"/>
    <w:charset w:val="00"/>
    <w:family w:val="auto"/>
    <w:pitch w:val="default"/>
    <w:sig w:usb0="00000000" w:usb1="00000000" w:usb2="00000000" w:usb3="00000000" w:csb0="00000000" w:csb1="00000000"/>
  </w:font>
  <w:font w:name="仿宋">
    <w:altName w:val="方正仿宋_GBK"/>
    <w:panose1 w:val="02010609060101010101"/>
    <w:charset w:val="86"/>
    <w:family w:val="modern"/>
    <w:pitch w:val="default"/>
    <w:sig w:usb0="00000000" w:usb1="00000000" w:usb2="00000016" w:usb3="00000000" w:csb0="00040001" w:csb1="00000000"/>
  </w:font>
  <w:font w:name="等线 Light">
    <w:altName w:val="华文仿宋"/>
    <w:panose1 w:val="02010600030101010101"/>
    <w:charset w:val="86"/>
    <w:family w:val="auto"/>
    <w:pitch w:val="default"/>
    <w:sig w:usb0="00000000" w:usb1="00000000" w:usb2="00000016" w:usb3="00000000" w:csb0="0004000F" w:csb1="00000000"/>
  </w:font>
  <w:font w:name="仿宋_GB2312">
    <w:altName w:val="方正仿宋_GBK"/>
    <w:panose1 w:val="00000000000000000000"/>
    <w:charset w:val="86"/>
    <w:family w:val="modern"/>
    <w:pitch w:val="default"/>
    <w:sig w:usb0="00000000" w:usb1="00000000" w:usb2="0000001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URW Bookman">
    <w:panose1 w:val="00000400000000000000"/>
    <w:charset w:val="00"/>
    <w:family w:val="auto"/>
    <w:pitch w:val="default"/>
    <w:sig w:usb0="00000287" w:usb1="00000800" w:usb2="00000000" w:usb3="00000000" w:csb0="6000009F" w:csb1="00000000"/>
  </w:font>
  <w:font w:name="方正书宋_GBK">
    <w:panose1 w:val="02000000000000000000"/>
    <w:charset w:val="86"/>
    <w:family w:val="auto"/>
    <w:pitch w:val="default"/>
    <w:sig w:usb0="00000001" w:usb1="08000000" w:usb2="00000000" w:usb3="00000000" w:csb0="00040000" w:csb1="00000000"/>
  </w:font>
  <w:font w:name="等线 Light">
    <w:altName w:val="URW Bookman"/>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tabs>
        <w:tab w:val="left" w:pos="4876"/>
        <w:tab w:val="clear" w:pos="4153"/>
        <w:tab w:val="clear" w:pos="8306"/>
      </w:tabs>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26"/>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single" w:color="auto" w:sz="4" w:space="1"/>
      </w:pBdr>
    </w:pPr>
    <w:r>
      <w:rPr>
        <w:rFonts w:hint="eastAsia"/>
      </w:rPr>
      <w:t>重庆两江新区“十四五”应急管理专项规划（2</w:t>
    </w:r>
    <w:r>
      <w:t>021</w:t>
    </w:r>
    <w:r>
      <w:rPr>
        <w:rFonts w:hint="eastAsia"/>
      </w:rPr>
      <w:t>-</w:t>
    </w:r>
    <w:r>
      <w:t>2025</w:t>
    </w:r>
    <w:r>
      <w:rPr>
        <w:rFonts w:hint="eastAsia"/>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B4684F"/>
    <w:multiLevelType w:val="multilevel"/>
    <w:tmpl w:val="1CB4684F"/>
    <w:lvl w:ilvl="0" w:tentative="0">
      <w:start w:val="1"/>
      <w:numFmt w:val="bullet"/>
      <w:pStyle w:val="70"/>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3EBB3C91"/>
    <w:multiLevelType w:val="multilevel"/>
    <w:tmpl w:val="3EBB3C91"/>
    <w:lvl w:ilvl="0" w:tentative="0">
      <w:start w:val="1"/>
      <w:numFmt w:val="chineseCountingThousand"/>
      <w:pStyle w:val="92"/>
      <w:suff w:val="space"/>
      <w:lvlText w:val="%1. "/>
      <w:lvlJc w:val="left"/>
      <w:pPr>
        <w:ind w:left="907" w:hanging="907"/>
      </w:pPr>
      <w:rPr>
        <w:rFonts w:hint="eastAsia"/>
      </w:rPr>
    </w:lvl>
    <w:lvl w:ilvl="1" w:tentative="0">
      <w:start w:val="1"/>
      <w:numFmt w:val="decimal"/>
      <w:isLgl/>
      <w:suff w:val="space"/>
      <w:lvlText w:val="%1.%2 "/>
      <w:lvlJc w:val="left"/>
      <w:pPr>
        <w:ind w:left="794" w:hanging="794"/>
      </w:pPr>
      <w:rPr>
        <w:rFonts w:hint="eastAsia"/>
      </w:rPr>
    </w:lvl>
    <w:lvl w:ilvl="2" w:tentative="0">
      <w:start w:val="1"/>
      <w:numFmt w:val="decimal"/>
      <w:isLgl/>
      <w:suff w:val="space"/>
      <w:lvlText w:val="%1.%2.%3 "/>
      <w:lvlJc w:val="left"/>
      <w:pPr>
        <w:ind w:left="1190" w:hanging="907"/>
      </w:pPr>
      <w:rPr>
        <w:rFonts w:hint="eastAsia" w:cs="Times New Roman"/>
        <w:b/>
        <w:bCs w:val="0"/>
        <w:i w:val="0"/>
        <w:iCs w:val="0"/>
        <w:caps w:val="0"/>
        <w:smallCaps w:val="0"/>
        <w:strike w:val="0"/>
        <w:dstrike w:val="0"/>
        <w:vanish w:val="0"/>
        <w:color w:val="000000"/>
        <w:spacing w:val="0"/>
        <w:position w:val="0"/>
        <w:u w:val="none"/>
        <w:vertAlign w:val="baseline"/>
      </w:rPr>
    </w:lvl>
    <w:lvl w:ilvl="3" w:tentative="0">
      <w:start w:val="1"/>
      <w:numFmt w:val="decimal"/>
      <w:pStyle w:val="95"/>
      <w:isLgl/>
      <w:suff w:val="space"/>
      <w:lvlText w:val="%1.%2.%3.%4 "/>
      <w:lvlJc w:val="left"/>
      <w:pPr>
        <w:ind w:left="1729" w:hanging="1021"/>
      </w:pPr>
      <w:rPr>
        <w:rFonts w:hint="eastAsia"/>
      </w:rPr>
    </w:lvl>
    <w:lvl w:ilvl="4" w:tentative="0">
      <w:start w:val="1"/>
      <w:numFmt w:val="decimal"/>
      <w:pStyle w:val="96"/>
      <w:isLgl/>
      <w:suff w:val="space"/>
      <w:lvlText w:val="%1.%2.%3.%4.%5 "/>
      <w:lvlJc w:val="left"/>
      <w:pPr>
        <w:ind w:left="1417" w:hanging="1134"/>
      </w:pPr>
      <w:rPr>
        <w:rFonts w:hint="eastAsia"/>
      </w:rPr>
    </w:lvl>
    <w:lvl w:ilvl="5" w:tentative="0">
      <w:start w:val="1"/>
      <w:numFmt w:val="decimal"/>
      <w:pStyle w:val="97"/>
      <w:isLgl/>
      <w:suff w:val="space"/>
      <w:lvlText w:val="%1.%2.%3.%4.%5.%6 "/>
      <w:lvlJc w:val="left"/>
      <w:pPr>
        <w:ind w:left="2240" w:hanging="1247"/>
      </w:pPr>
      <w:rPr>
        <w:rFonts w:hint="eastAsia"/>
      </w:rPr>
    </w:lvl>
    <w:lvl w:ilvl="6" w:tentative="0">
      <w:start w:val="1"/>
      <w:numFmt w:val="decimal"/>
      <w:lvlRestart w:val="1"/>
      <w:pStyle w:val="98"/>
      <w:isLgl/>
      <w:suff w:val="space"/>
      <w:lvlText w:val="图 %1.%7 "/>
      <w:lvlJc w:val="left"/>
      <w:pPr>
        <w:ind w:left="0" w:firstLine="0"/>
      </w:pPr>
      <w:rPr>
        <w:rFonts w:hint="eastAsia"/>
      </w:rPr>
    </w:lvl>
    <w:lvl w:ilvl="7" w:tentative="0">
      <w:start w:val="1"/>
      <w:numFmt w:val="decimal"/>
      <w:lvlRestart w:val="1"/>
      <w:pStyle w:val="99"/>
      <w:isLgl/>
      <w:suff w:val="space"/>
      <w:lvlText w:val="表 %1.%8 "/>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true"/>
  <w:bordersDoNotSurroundFooter w:val="true"/>
  <w:documentProtection w:enforcement="0"/>
  <w:defaultTabStop w:val="420"/>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D29"/>
    <w:rsid w:val="0000139F"/>
    <w:rsid w:val="000018A5"/>
    <w:rsid w:val="00001B7B"/>
    <w:rsid w:val="00002F18"/>
    <w:rsid w:val="0000471D"/>
    <w:rsid w:val="00005115"/>
    <w:rsid w:val="00005518"/>
    <w:rsid w:val="00005F58"/>
    <w:rsid w:val="00006359"/>
    <w:rsid w:val="00006C68"/>
    <w:rsid w:val="0000757B"/>
    <w:rsid w:val="00007642"/>
    <w:rsid w:val="0000765E"/>
    <w:rsid w:val="00007935"/>
    <w:rsid w:val="00010A39"/>
    <w:rsid w:val="00011691"/>
    <w:rsid w:val="00011931"/>
    <w:rsid w:val="00011DF3"/>
    <w:rsid w:val="000125BA"/>
    <w:rsid w:val="00012B63"/>
    <w:rsid w:val="00012F02"/>
    <w:rsid w:val="00012F5C"/>
    <w:rsid w:val="00012FDF"/>
    <w:rsid w:val="0001344B"/>
    <w:rsid w:val="00013587"/>
    <w:rsid w:val="00013B3D"/>
    <w:rsid w:val="00014A55"/>
    <w:rsid w:val="00014CDC"/>
    <w:rsid w:val="00014E52"/>
    <w:rsid w:val="00014F45"/>
    <w:rsid w:val="00015429"/>
    <w:rsid w:val="00015D20"/>
    <w:rsid w:val="00015E45"/>
    <w:rsid w:val="00016BDD"/>
    <w:rsid w:val="00017037"/>
    <w:rsid w:val="0001704B"/>
    <w:rsid w:val="00017055"/>
    <w:rsid w:val="00017768"/>
    <w:rsid w:val="00017F1C"/>
    <w:rsid w:val="00020694"/>
    <w:rsid w:val="00020D7F"/>
    <w:rsid w:val="0002225E"/>
    <w:rsid w:val="000225DA"/>
    <w:rsid w:val="00022728"/>
    <w:rsid w:val="0002295B"/>
    <w:rsid w:val="00022B96"/>
    <w:rsid w:val="000235AD"/>
    <w:rsid w:val="00023723"/>
    <w:rsid w:val="000239A2"/>
    <w:rsid w:val="00023BD7"/>
    <w:rsid w:val="0002440D"/>
    <w:rsid w:val="000248DA"/>
    <w:rsid w:val="0002551B"/>
    <w:rsid w:val="00026388"/>
    <w:rsid w:val="000263EE"/>
    <w:rsid w:val="000271A8"/>
    <w:rsid w:val="00027726"/>
    <w:rsid w:val="000277A8"/>
    <w:rsid w:val="00027B15"/>
    <w:rsid w:val="00027F90"/>
    <w:rsid w:val="00030460"/>
    <w:rsid w:val="00031528"/>
    <w:rsid w:val="00032076"/>
    <w:rsid w:val="00032A51"/>
    <w:rsid w:val="00032C0E"/>
    <w:rsid w:val="000334CD"/>
    <w:rsid w:val="00033988"/>
    <w:rsid w:val="00034C6E"/>
    <w:rsid w:val="0003545B"/>
    <w:rsid w:val="000357CF"/>
    <w:rsid w:val="00035D0D"/>
    <w:rsid w:val="00036A92"/>
    <w:rsid w:val="00036DF2"/>
    <w:rsid w:val="00037568"/>
    <w:rsid w:val="000418A8"/>
    <w:rsid w:val="00041FAB"/>
    <w:rsid w:val="00041FBA"/>
    <w:rsid w:val="0004217B"/>
    <w:rsid w:val="00042379"/>
    <w:rsid w:val="00042B06"/>
    <w:rsid w:val="00042EA1"/>
    <w:rsid w:val="00044090"/>
    <w:rsid w:val="0004458E"/>
    <w:rsid w:val="000445FF"/>
    <w:rsid w:val="00044ABE"/>
    <w:rsid w:val="00044F23"/>
    <w:rsid w:val="00045151"/>
    <w:rsid w:val="00045724"/>
    <w:rsid w:val="0004615A"/>
    <w:rsid w:val="000468B3"/>
    <w:rsid w:val="00046B63"/>
    <w:rsid w:val="00046C39"/>
    <w:rsid w:val="00050057"/>
    <w:rsid w:val="0005053E"/>
    <w:rsid w:val="0005057D"/>
    <w:rsid w:val="00050782"/>
    <w:rsid w:val="00050D5D"/>
    <w:rsid w:val="00050EE1"/>
    <w:rsid w:val="00051044"/>
    <w:rsid w:val="00051590"/>
    <w:rsid w:val="0005193C"/>
    <w:rsid w:val="00051AF9"/>
    <w:rsid w:val="00051AFF"/>
    <w:rsid w:val="0005235B"/>
    <w:rsid w:val="000524EB"/>
    <w:rsid w:val="00052D38"/>
    <w:rsid w:val="00052F21"/>
    <w:rsid w:val="0005392F"/>
    <w:rsid w:val="00053BD5"/>
    <w:rsid w:val="00053DDC"/>
    <w:rsid w:val="00053E61"/>
    <w:rsid w:val="00054221"/>
    <w:rsid w:val="00054273"/>
    <w:rsid w:val="00054453"/>
    <w:rsid w:val="00055404"/>
    <w:rsid w:val="000555B9"/>
    <w:rsid w:val="000555F3"/>
    <w:rsid w:val="00055CDA"/>
    <w:rsid w:val="00055D57"/>
    <w:rsid w:val="00055D80"/>
    <w:rsid w:val="0005654D"/>
    <w:rsid w:val="00056E64"/>
    <w:rsid w:val="0005782E"/>
    <w:rsid w:val="0005795E"/>
    <w:rsid w:val="000603DB"/>
    <w:rsid w:val="00060974"/>
    <w:rsid w:val="00061029"/>
    <w:rsid w:val="00061BE9"/>
    <w:rsid w:val="00061EC3"/>
    <w:rsid w:val="00062469"/>
    <w:rsid w:val="000627F8"/>
    <w:rsid w:val="00062E52"/>
    <w:rsid w:val="00063B8D"/>
    <w:rsid w:val="00063FF6"/>
    <w:rsid w:val="00064E17"/>
    <w:rsid w:val="000651A6"/>
    <w:rsid w:val="00065360"/>
    <w:rsid w:val="00065E3D"/>
    <w:rsid w:val="00066546"/>
    <w:rsid w:val="00066E0E"/>
    <w:rsid w:val="00066EB1"/>
    <w:rsid w:val="000701AE"/>
    <w:rsid w:val="00071639"/>
    <w:rsid w:val="000731F4"/>
    <w:rsid w:val="00073887"/>
    <w:rsid w:val="000744AE"/>
    <w:rsid w:val="000745C9"/>
    <w:rsid w:val="000746D2"/>
    <w:rsid w:val="00074C61"/>
    <w:rsid w:val="00074D71"/>
    <w:rsid w:val="00074D97"/>
    <w:rsid w:val="0007588F"/>
    <w:rsid w:val="00076433"/>
    <w:rsid w:val="0007714A"/>
    <w:rsid w:val="00077811"/>
    <w:rsid w:val="00077D43"/>
    <w:rsid w:val="00077F4C"/>
    <w:rsid w:val="0008055A"/>
    <w:rsid w:val="0008063F"/>
    <w:rsid w:val="00080C44"/>
    <w:rsid w:val="00080D6B"/>
    <w:rsid w:val="0008153D"/>
    <w:rsid w:val="00081D9C"/>
    <w:rsid w:val="00081F13"/>
    <w:rsid w:val="000832F3"/>
    <w:rsid w:val="00083580"/>
    <w:rsid w:val="00083886"/>
    <w:rsid w:val="00083C5A"/>
    <w:rsid w:val="00084515"/>
    <w:rsid w:val="00084CDC"/>
    <w:rsid w:val="00085203"/>
    <w:rsid w:val="00085751"/>
    <w:rsid w:val="00085AC2"/>
    <w:rsid w:val="00086E31"/>
    <w:rsid w:val="00087E42"/>
    <w:rsid w:val="000906B7"/>
    <w:rsid w:val="0009091D"/>
    <w:rsid w:val="0009099B"/>
    <w:rsid w:val="00091366"/>
    <w:rsid w:val="000915F8"/>
    <w:rsid w:val="00091B1B"/>
    <w:rsid w:val="0009258F"/>
    <w:rsid w:val="000925D8"/>
    <w:rsid w:val="00092E6C"/>
    <w:rsid w:val="000930B5"/>
    <w:rsid w:val="000930E5"/>
    <w:rsid w:val="00093218"/>
    <w:rsid w:val="000938B0"/>
    <w:rsid w:val="00093BC6"/>
    <w:rsid w:val="00093CF9"/>
    <w:rsid w:val="00093D1E"/>
    <w:rsid w:val="000947A9"/>
    <w:rsid w:val="00094BA5"/>
    <w:rsid w:val="00094F39"/>
    <w:rsid w:val="00096D26"/>
    <w:rsid w:val="0009754E"/>
    <w:rsid w:val="0009766C"/>
    <w:rsid w:val="000A17FD"/>
    <w:rsid w:val="000A1E57"/>
    <w:rsid w:val="000A22B7"/>
    <w:rsid w:val="000A38DD"/>
    <w:rsid w:val="000A39B1"/>
    <w:rsid w:val="000A4260"/>
    <w:rsid w:val="000A4C68"/>
    <w:rsid w:val="000A58E2"/>
    <w:rsid w:val="000A6291"/>
    <w:rsid w:val="000A6942"/>
    <w:rsid w:val="000A6AB1"/>
    <w:rsid w:val="000A6DAB"/>
    <w:rsid w:val="000A6EA2"/>
    <w:rsid w:val="000A702C"/>
    <w:rsid w:val="000A7B9E"/>
    <w:rsid w:val="000A7E9F"/>
    <w:rsid w:val="000B0D5F"/>
    <w:rsid w:val="000B0D86"/>
    <w:rsid w:val="000B1A95"/>
    <w:rsid w:val="000B1DBB"/>
    <w:rsid w:val="000B2C83"/>
    <w:rsid w:val="000B2E20"/>
    <w:rsid w:val="000B3BC1"/>
    <w:rsid w:val="000B3F8C"/>
    <w:rsid w:val="000B4694"/>
    <w:rsid w:val="000B4ECD"/>
    <w:rsid w:val="000B52CB"/>
    <w:rsid w:val="000B5662"/>
    <w:rsid w:val="000B6C80"/>
    <w:rsid w:val="000B6DBF"/>
    <w:rsid w:val="000B74E0"/>
    <w:rsid w:val="000B798A"/>
    <w:rsid w:val="000C0544"/>
    <w:rsid w:val="000C0B8D"/>
    <w:rsid w:val="000C0F0B"/>
    <w:rsid w:val="000C1527"/>
    <w:rsid w:val="000C23A3"/>
    <w:rsid w:val="000C2C4A"/>
    <w:rsid w:val="000C2DDF"/>
    <w:rsid w:val="000C325A"/>
    <w:rsid w:val="000C38FC"/>
    <w:rsid w:val="000C4619"/>
    <w:rsid w:val="000C490C"/>
    <w:rsid w:val="000C4D7C"/>
    <w:rsid w:val="000C5169"/>
    <w:rsid w:val="000C5D46"/>
    <w:rsid w:val="000C66A0"/>
    <w:rsid w:val="000C6B9A"/>
    <w:rsid w:val="000C6D1C"/>
    <w:rsid w:val="000C6EFB"/>
    <w:rsid w:val="000C7BC4"/>
    <w:rsid w:val="000D053E"/>
    <w:rsid w:val="000D1CBC"/>
    <w:rsid w:val="000D2200"/>
    <w:rsid w:val="000D31D7"/>
    <w:rsid w:val="000D4585"/>
    <w:rsid w:val="000D634B"/>
    <w:rsid w:val="000D636B"/>
    <w:rsid w:val="000D6CF0"/>
    <w:rsid w:val="000D6E38"/>
    <w:rsid w:val="000D73CB"/>
    <w:rsid w:val="000D790A"/>
    <w:rsid w:val="000D7C20"/>
    <w:rsid w:val="000D7FAF"/>
    <w:rsid w:val="000E0432"/>
    <w:rsid w:val="000E0EF7"/>
    <w:rsid w:val="000E280D"/>
    <w:rsid w:val="000E2936"/>
    <w:rsid w:val="000E3467"/>
    <w:rsid w:val="000E3846"/>
    <w:rsid w:val="000E38FA"/>
    <w:rsid w:val="000E4163"/>
    <w:rsid w:val="000E42E9"/>
    <w:rsid w:val="000E4484"/>
    <w:rsid w:val="000E45CB"/>
    <w:rsid w:val="000E4B08"/>
    <w:rsid w:val="000E4BBC"/>
    <w:rsid w:val="000E5341"/>
    <w:rsid w:val="000E5C98"/>
    <w:rsid w:val="000E619F"/>
    <w:rsid w:val="000E7732"/>
    <w:rsid w:val="000E7B22"/>
    <w:rsid w:val="000F03C4"/>
    <w:rsid w:val="000F15F9"/>
    <w:rsid w:val="000F174E"/>
    <w:rsid w:val="000F17BB"/>
    <w:rsid w:val="000F1C12"/>
    <w:rsid w:val="000F1E85"/>
    <w:rsid w:val="000F1EBB"/>
    <w:rsid w:val="000F22D8"/>
    <w:rsid w:val="000F2AB3"/>
    <w:rsid w:val="000F2DEC"/>
    <w:rsid w:val="000F304C"/>
    <w:rsid w:val="000F3992"/>
    <w:rsid w:val="000F3CF1"/>
    <w:rsid w:val="000F46A4"/>
    <w:rsid w:val="000F4C8F"/>
    <w:rsid w:val="000F4E04"/>
    <w:rsid w:val="000F53CC"/>
    <w:rsid w:val="000F613A"/>
    <w:rsid w:val="000F6707"/>
    <w:rsid w:val="000F7047"/>
    <w:rsid w:val="000F717E"/>
    <w:rsid w:val="000F7AEA"/>
    <w:rsid w:val="000F7AF9"/>
    <w:rsid w:val="00100654"/>
    <w:rsid w:val="00100E0A"/>
    <w:rsid w:val="00101321"/>
    <w:rsid w:val="00101AAF"/>
    <w:rsid w:val="00105A05"/>
    <w:rsid w:val="00105B04"/>
    <w:rsid w:val="00105D25"/>
    <w:rsid w:val="00105E18"/>
    <w:rsid w:val="00106414"/>
    <w:rsid w:val="00106AF8"/>
    <w:rsid w:val="00107936"/>
    <w:rsid w:val="001079DD"/>
    <w:rsid w:val="00107D16"/>
    <w:rsid w:val="00110EE0"/>
    <w:rsid w:val="00111397"/>
    <w:rsid w:val="00112710"/>
    <w:rsid w:val="00113483"/>
    <w:rsid w:val="00113F65"/>
    <w:rsid w:val="00113FC6"/>
    <w:rsid w:val="00114E68"/>
    <w:rsid w:val="00115A87"/>
    <w:rsid w:val="00116775"/>
    <w:rsid w:val="00116AD3"/>
    <w:rsid w:val="001178D1"/>
    <w:rsid w:val="00117DF4"/>
    <w:rsid w:val="00120111"/>
    <w:rsid w:val="001221D6"/>
    <w:rsid w:val="00124F04"/>
    <w:rsid w:val="00125101"/>
    <w:rsid w:val="00126907"/>
    <w:rsid w:val="00127039"/>
    <w:rsid w:val="00127162"/>
    <w:rsid w:val="001300C6"/>
    <w:rsid w:val="001302AC"/>
    <w:rsid w:val="001302B4"/>
    <w:rsid w:val="00130881"/>
    <w:rsid w:val="00130917"/>
    <w:rsid w:val="00130C91"/>
    <w:rsid w:val="00130D4A"/>
    <w:rsid w:val="00131B4F"/>
    <w:rsid w:val="00131DC9"/>
    <w:rsid w:val="00132228"/>
    <w:rsid w:val="00132D0C"/>
    <w:rsid w:val="00132EAD"/>
    <w:rsid w:val="00133093"/>
    <w:rsid w:val="00133367"/>
    <w:rsid w:val="001335D3"/>
    <w:rsid w:val="00133D5E"/>
    <w:rsid w:val="001345D5"/>
    <w:rsid w:val="00134A81"/>
    <w:rsid w:val="00135B35"/>
    <w:rsid w:val="001361ED"/>
    <w:rsid w:val="00136873"/>
    <w:rsid w:val="00136B96"/>
    <w:rsid w:val="00137018"/>
    <w:rsid w:val="00137050"/>
    <w:rsid w:val="001372EC"/>
    <w:rsid w:val="001379D7"/>
    <w:rsid w:val="00140185"/>
    <w:rsid w:val="00140895"/>
    <w:rsid w:val="00141288"/>
    <w:rsid w:val="0014131C"/>
    <w:rsid w:val="00141E3B"/>
    <w:rsid w:val="00142118"/>
    <w:rsid w:val="001447E8"/>
    <w:rsid w:val="00145752"/>
    <w:rsid w:val="00145A8C"/>
    <w:rsid w:val="0014625E"/>
    <w:rsid w:val="0014679D"/>
    <w:rsid w:val="00147E52"/>
    <w:rsid w:val="00150069"/>
    <w:rsid w:val="00150143"/>
    <w:rsid w:val="0015040B"/>
    <w:rsid w:val="0015074F"/>
    <w:rsid w:val="00150B61"/>
    <w:rsid w:val="00150E84"/>
    <w:rsid w:val="00150EB8"/>
    <w:rsid w:val="001510A1"/>
    <w:rsid w:val="001519AA"/>
    <w:rsid w:val="00151DF6"/>
    <w:rsid w:val="001525A4"/>
    <w:rsid w:val="00152BA0"/>
    <w:rsid w:val="00153468"/>
    <w:rsid w:val="00153756"/>
    <w:rsid w:val="001545FD"/>
    <w:rsid w:val="001548ED"/>
    <w:rsid w:val="00154FF9"/>
    <w:rsid w:val="00155AA7"/>
    <w:rsid w:val="00155FA3"/>
    <w:rsid w:val="001568BD"/>
    <w:rsid w:val="00156FA4"/>
    <w:rsid w:val="00157259"/>
    <w:rsid w:val="00157FD6"/>
    <w:rsid w:val="00160497"/>
    <w:rsid w:val="00160620"/>
    <w:rsid w:val="00160F44"/>
    <w:rsid w:val="00161BE6"/>
    <w:rsid w:val="00162978"/>
    <w:rsid w:val="00163102"/>
    <w:rsid w:val="0016545D"/>
    <w:rsid w:val="00165724"/>
    <w:rsid w:val="00165EB8"/>
    <w:rsid w:val="001661A1"/>
    <w:rsid w:val="001661DD"/>
    <w:rsid w:val="00166344"/>
    <w:rsid w:val="001664FD"/>
    <w:rsid w:val="0016739B"/>
    <w:rsid w:val="00167610"/>
    <w:rsid w:val="00167C55"/>
    <w:rsid w:val="001710DD"/>
    <w:rsid w:val="00171305"/>
    <w:rsid w:val="00171A48"/>
    <w:rsid w:val="00171FF2"/>
    <w:rsid w:val="001726AA"/>
    <w:rsid w:val="00172715"/>
    <w:rsid w:val="00172933"/>
    <w:rsid w:val="00172BA3"/>
    <w:rsid w:val="0017329A"/>
    <w:rsid w:val="00174CEC"/>
    <w:rsid w:val="00174F26"/>
    <w:rsid w:val="0017509B"/>
    <w:rsid w:val="00175CCE"/>
    <w:rsid w:val="00176110"/>
    <w:rsid w:val="001767B3"/>
    <w:rsid w:val="00177373"/>
    <w:rsid w:val="001805DC"/>
    <w:rsid w:val="00180D7E"/>
    <w:rsid w:val="00181846"/>
    <w:rsid w:val="00181902"/>
    <w:rsid w:val="0018222D"/>
    <w:rsid w:val="00182301"/>
    <w:rsid w:val="00182589"/>
    <w:rsid w:val="00182FC3"/>
    <w:rsid w:val="0018333F"/>
    <w:rsid w:val="001855CC"/>
    <w:rsid w:val="001856D1"/>
    <w:rsid w:val="00185BF8"/>
    <w:rsid w:val="00185D34"/>
    <w:rsid w:val="00185ED7"/>
    <w:rsid w:val="00186F13"/>
    <w:rsid w:val="001903D8"/>
    <w:rsid w:val="0019084C"/>
    <w:rsid w:val="00190951"/>
    <w:rsid w:val="00190BF6"/>
    <w:rsid w:val="0019181B"/>
    <w:rsid w:val="00191CB4"/>
    <w:rsid w:val="00192BFB"/>
    <w:rsid w:val="00192CE6"/>
    <w:rsid w:val="0019331D"/>
    <w:rsid w:val="00193563"/>
    <w:rsid w:val="00193825"/>
    <w:rsid w:val="001939A3"/>
    <w:rsid w:val="00193AA1"/>
    <w:rsid w:val="00193C84"/>
    <w:rsid w:val="001945BD"/>
    <w:rsid w:val="00194AC8"/>
    <w:rsid w:val="00194C97"/>
    <w:rsid w:val="00195F0A"/>
    <w:rsid w:val="00197008"/>
    <w:rsid w:val="00197231"/>
    <w:rsid w:val="001976A8"/>
    <w:rsid w:val="001978FE"/>
    <w:rsid w:val="001A015C"/>
    <w:rsid w:val="001A02DB"/>
    <w:rsid w:val="001A073F"/>
    <w:rsid w:val="001A0930"/>
    <w:rsid w:val="001A0CD8"/>
    <w:rsid w:val="001A11DD"/>
    <w:rsid w:val="001A1BB8"/>
    <w:rsid w:val="001A1FD3"/>
    <w:rsid w:val="001A215F"/>
    <w:rsid w:val="001A25F8"/>
    <w:rsid w:val="001A3475"/>
    <w:rsid w:val="001A37FA"/>
    <w:rsid w:val="001A38FF"/>
    <w:rsid w:val="001A3D1F"/>
    <w:rsid w:val="001A4165"/>
    <w:rsid w:val="001A43A1"/>
    <w:rsid w:val="001A4651"/>
    <w:rsid w:val="001A46C2"/>
    <w:rsid w:val="001A4A72"/>
    <w:rsid w:val="001A5658"/>
    <w:rsid w:val="001A57DC"/>
    <w:rsid w:val="001A6200"/>
    <w:rsid w:val="001B055C"/>
    <w:rsid w:val="001B05E5"/>
    <w:rsid w:val="001B0729"/>
    <w:rsid w:val="001B0826"/>
    <w:rsid w:val="001B20F5"/>
    <w:rsid w:val="001B28A4"/>
    <w:rsid w:val="001B2C0F"/>
    <w:rsid w:val="001B3BF2"/>
    <w:rsid w:val="001B453A"/>
    <w:rsid w:val="001B4A18"/>
    <w:rsid w:val="001B4D29"/>
    <w:rsid w:val="001B4F73"/>
    <w:rsid w:val="001B588D"/>
    <w:rsid w:val="001B659B"/>
    <w:rsid w:val="001B67F6"/>
    <w:rsid w:val="001B774F"/>
    <w:rsid w:val="001B7A7A"/>
    <w:rsid w:val="001C04C4"/>
    <w:rsid w:val="001C0909"/>
    <w:rsid w:val="001C0B24"/>
    <w:rsid w:val="001C11CF"/>
    <w:rsid w:val="001C1F52"/>
    <w:rsid w:val="001C2296"/>
    <w:rsid w:val="001C2A3F"/>
    <w:rsid w:val="001C3208"/>
    <w:rsid w:val="001C3C5B"/>
    <w:rsid w:val="001C3E62"/>
    <w:rsid w:val="001C3F1B"/>
    <w:rsid w:val="001C40D9"/>
    <w:rsid w:val="001C420C"/>
    <w:rsid w:val="001C54C0"/>
    <w:rsid w:val="001C6C24"/>
    <w:rsid w:val="001C796F"/>
    <w:rsid w:val="001D0EFD"/>
    <w:rsid w:val="001D0F04"/>
    <w:rsid w:val="001D1459"/>
    <w:rsid w:val="001D25A2"/>
    <w:rsid w:val="001D2B71"/>
    <w:rsid w:val="001D2C7A"/>
    <w:rsid w:val="001D2FFB"/>
    <w:rsid w:val="001D3A23"/>
    <w:rsid w:val="001D3B52"/>
    <w:rsid w:val="001D44B6"/>
    <w:rsid w:val="001D48BE"/>
    <w:rsid w:val="001D4A1C"/>
    <w:rsid w:val="001D4AE8"/>
    <w:rsid w:val="001D4C57"/>
    <w:rsid w:val="001D58BD"/>
    <w:rsid w:val="001D7567"/>
    <w:rsid w:val="001D79E1"/>
    <w:rsid w:val="001E0DF1"/>
    <w:rsid w:val="001E152A"/>
    <w:rsid w:val="001E315D"/>
    <w:rsid w:val="001E3D11"/>
    <w:rsid w:val="001E495B"/>
    <w:rsid w:val="001E59E2"/>
    <w:rsid w:val="001E5CB0"/>
    <w:rsid w:val="001E6465"/>
    <w:rsid w:val="001F0031"/>
    <w:rsid w:val="001F0D58"/>
    <w:rsid w:val="001F1064"/>
    <w:rsid w:val="001F13C0"/>
    <w:rsid w:val="001F1658"/>
    <w:rsid w:val="001F1CAE"/>
    <w:rsid w:val="001F294A"/>
    <w:rsid w:val="001F2C5B"/>
    <w:rsid w:val="001F2F9B"/>
    <w:rsid w:val="001F33D3"/>
    <w:rsid w:val="001F3F81"/>
    <w:rsid w:val="001F4AC4"/>
    <w:rsid w:val="001F51C6"/>
    <w:rsid w:val="001F7BE1"/>
    <w:rsid w:val="00200730"/>
    <w:rsid w:val="0020215A"/>
    <w:rsid w:val="002021EE"/>
    <w:rsid w:val="00202F69"/>
    <w:rsid w:val="002031B0"/>
    <w:rsid w:val="00204124"/>
    <w:rsid w:val="002044DA"/>
    <w:rsid w:val="002045EE"/>
    <w:rsid w:val="002046E2"/>
    <w:rsid w:val="00204803"/>
    <w:rsid w:val="00204B56"/>
    <w:rsid w:val="00204D2C"/>
    <w:rsid w:val="0020550F"/>
    <w:rsid w:val="0020553F"/>
    <w:rsid w:val="002057D8"/>
    <w:rsid w:val="00205D28"/>
    <w:rsid w:val="00206365"/>
    <w:rsid w:val="00206480"/>
    <w:rsid w:val="002065AD"/>
    <w:rsid w:val="00206880"/>
    <w:rsid w:val="00207679"/>
    <w:rsid w:val="002077E8"/>
    <w:rsid w:val="00207C36"/>
    <w:rsid w:val="00207F54"/>
    <w:rsid w:val="002100CF"/>
    <w:rsid w:val="00210331"/>
    <w:rsid w:val="002115AE"/>
    <w:rsid w:val="00211754"/>
    <w:rsid w:val="00212083"/>
    <w:rsid w:val="0021219E"/>
    <w:rsid w:val="00212621"/>
    <w:rsid w:val="00212761"/>
    <w:rsid w:val="00212A96"/>
    <w:rsid w:val="00212E33"/>
    <w:rsid w:val="00212F27"/>
    <w:rsid w:val="00213A98"/>
    <w:rsid w:val="00213FF7"/>
    <w:rsid w:val="002140C4"/>
    <w:rsid w:val="00215283"/>
    <w:rsid w:val="00215B78"/>
    <w:rsid w:val="00221135"/>
    <w:rsid w:val="0022154C"/>
    <w:rsid w:val="00222021"/>
    <w:rsid w:val="0022359C"/>
    <w:rsid w:val="00224946"/>
    <w:rsid w:val="0022593F"/>
    <w:rsid w:val="00225B12"/>
    <w:rsid w:val="00225BFA"/>
    <w:rsid w:val="00227EC0"/>
    <w:rsid w:val="002300E8"/>
    <w:rsid w:val="00230C30"/>
    <w:rsid w:val="00230DCF"/>
    <w:rsid w:val="00230E2B"/>
    <w:rsid w:val="002311A3"/>
    <w:rsid w:val="0023159D"/>
    <w:rsid w:val="0023190D"/>
    <w:rsid w:val="00231AD7"/>
    <w:rsid w:val="00232A5A"/>
    <w:rsid w:val="00232B6B"/>
    <w:rsid w:val="00233547"/>
    <w:rsid w:val="00233BC3"/>
    <w:rsid w:val="00234C65"/>
    <w:rsid w:val="0023556D"/>
    <w:rsid w:val="002361E7"/>
    <w:rsid w:val="00236EC1"/>
    <w:rsid w:val="00236EDF"/>
    <w:rsid w:val="00237BFF"/>
    <w:rsid w:val="00240D4C"/>
    <w:rsid w:val="00240E59"/>
    <w:rsid w:val="00240F0A"/>
    <w:rsid w:val="00241276"/>
    <w:rsid w:val="00242547"/>
    <w:rsid w:val="002428B7"/>
    <w:rsid w:val="0024367A"/>
    <w:rsid w:val="00243B87"/>
    <w:rsid w:val="00245F99"/>
    <w:rsid w:val="002464A8"/>
    <w:rsid w:val="00246C63"/>
    <w:rsid w:val="00247388"/>
    <w:rsid w:val="00247625"/>
    <w:rsid w:val="00251807"/>
    <w:rsid w:val="00251A5F"/>
    <w:rsid w:val="0025252F"/>
    <w:rsid w:val="0025271F"/>
    <w:rsid w:val="002529E7"/>
    <w:rsid w:val="00252E83"/>
    <w:rsid w:val="00253210"/>
    <w:rsid w:val="0025374D"/>
    <w:rsid w:val="00253774"/>
    <w:rsid w:val="002539D9"/>
    <w:rsid w:val="00253E16"/>
    <w:rsid w:val="002545C2"/>
    <w:rsid w:val="00254964"/>
    <w:rsid w:val="00254991"/>
    <w:rsid w:val="002550C1"/>
    <w:rsid w:val="00255135"/>
    <w:rsid w:val="00255690"/>
    <w:rsid w:val="00255BC3"/>
    <w:rsid w:val="002564F5"/>
    <w:rsid w:val="0025655C"/>
    <w:rsid w:val="00256791"/>
    <w:rsid w:val="00256A8F"/>
    <w:rsid w:val="00257449"/>
    <w:rsid w:val="00257702"/>
    <w:rsid w:val="00261548"/>
    <w:rsid w:val="00261670"/>
    <w:rsid w:val="00262483"/>
    <w:rsid w:val="002626C0"/>
    <w:rsid w:val="00262D70"/>
    <w:rsid w:val="00263E84"/>
    <w:rsid w:val="00263FB6"/>
    <w:rsid w:val="0026459B"/>
    <w:rsid w:val="002649D4"/>
    <w:rsid w:val="00266222"/>
    <w:rsid w:val="0026685C"/>
    <w:rsid w:val="00267300"/>
    <w:rsid w:val="00267CB2"/>
    <w:rsid w:val="002710DC"/>
    <w:rsid w:val="002719A5"/>
    <w:rsid w:val="00271A7A"/>
    <w:rsid w:val="00271D0B"/>
    <w:rsid w:val="00271DE0"/>
    <w:rsid w:val="00272C67"/>
    <w:rsid w:val="0027321B"/>
    <w:rsid w:val="00274A81"/>
    <w:rsid w:val="00274BAF"/>
    <w:rsid w:val="00274C38"/>
    <w:rsid w:val="00275D18"/>
    <w:rsid w:val="00276F8E"/>
    <w:rsid w:val="0027767B"/>
    <w:rsid w:val="00277EEB"/>
    <w:rsid w:val="002801B0"/>
    <w:rsid w:val="0028036F"/>
    <w:rsid w:val="00280B3F"/>
    <w:rsid w:val="00281154"/>
    <w:rsid w:val="00281396"/>
    <w:rsid w:val="00281711"/>
    <w:rsid w:val="002819A4"/>
    <w:rsid w:val="00281D4C"/>
    <w:rsid w:val="00283097"/>
    <w:rsid w:val="002833AB"/>
    <w:rsid w:val="00283CB7"/>
    <w:rsid w:val="002845CC"/>
    <w:rsid w:val="00285343"/>
    <w:rsid w:val="00285A28"/>
    <w:rsid w:val="00286354"/>
    <w:rsid w:val="00286678"/>
    <w:rsid w:val="00286890"/>
    <w:rsid w:val="00287200"/>
    <w:rsid w:val="0028762D"/>
    <w:rsid w:val="002905B5"/>
    <w:rsid w:val="00290DA8"/>
    <w:rsid w:val="00291137"/>
    <w:rsid w:val="00291A3D"/>
    <w:rsid w:val="002922FE"/>
    <w:rsid w:val="002924A8"/>
    <w:rsid w:val="00292718"/>
    <w:rsid w:val="00292A79"/>
    <w:rsid w:val="0029324C"/>
    <w:rsid w:val="00293269"/>
    <w:rsid w:val="0029404A"/>
    <w:rsid w:val="0029444D"/>
    <w:rsid w:val="00295B51"/>
    <w:rsid w:val="00296902"/>
    <w:rsid w:val="00296B99"/>
    <w:rsid w:val="00296BF4"/>
    <w:rsid w:val="00296C50"/>
    <w:rsid w:val="00296F28"/>
    <w:rsid w:val="002A01D4"/>
    <w:rsid w:val="002A0CAD"/>
    <w:rsid w:val="002A1867"/>
    <w:rsid w:val="002A1EA2"/>
    <w:rsid w:val="002A38A1"/>
    <w:rsid w:val="002A3E21"/>
    <w:rsid w:val="002A548A"/>
    <w:rsid w:val="002A647D"/>
    <w:rsid w:val="002A6F11"/>
    <w:rsid w:val="002A7904"/>
    <w:rsid w:val="002B0139"/>
    <w:rsid w:val="002B0B06"/>
    <w:rsid w:val="002B14A6"/>
    <w:rsid w:val="002B15C4"/>
    <w:rsid w:val="002B1D74"/>
    <w:rsid w:val="002B2D5F"/>
    <w:rsid w:val="002B6217"/>
    <w:rsid w:val="002B6250"/>
    <w:rsid w:val="002B64E4"/>
    <w:rsid w:val="002B6650"/>
    <w:rsid w:val="002B6A82"/>
    <w:rsid w:val="002B6C71"/>
    <w:rsid w:val="002B7149"/>
    <w:rsid w:val="002C114F"/>
    <w:rsid w:val="002C13FB"/>
    <w:rsid w:val="002C2A09"/>
    <w:rsid w:val="002C31BF"/>
    <w:rsid w:val="002C370C"/>
    <w:rsid w:val="002C4FD2"/>
    <w:rsid w:val="002C5879"/>
    <w:rsid w:val="002C5EA7"/>
    <w:rsid w:val="002C6BA5"/>
    <w:rsid w:val="002C6EAE"/>
    <w:rsid w:val="002C7535"/>
    <w:rsid w:val="002C7D54"/>
    <w:rsid w:val="002D026C"/>
    <w:rsid w:val="002D0C23"/>
    <w:rsid w:val="002D149D"/>
    <w:rsid w:val="002D180B"/>
    <w:rsid w:val="002D28FA"/>
    <w:rsid w:val="002D2FDB"/>
    <w:rsid w:val="002D3A2D"/>
    <w:rsid w:val="002D3AEA"/>
    <w:rsid w:val="002D42E3"/>
    <w:rsid w:val="002D4489"/>
    <w:rsid w:val="002D4545"/>
    <w:rsid w:val="002D49E0"/>
    <w:rsid w:val="002D4C70"/>
    <w:rsid w:val="002D53E7"/>
    <w:rsid w:val="002D5762"/>
    <w:rsid w:val="002D7DF8"/>
    <w:rsid w:val="002E079C"/>
    <w:rsid w:val="002E0B02"/>
    <w:rsid w:val="002E13AF"/>
    <w:rsid w:val="002E16E1"/>
    <w:rsid w:val="002E19CA"/>
    <w:rsid w:val="002E1DC2"/>
    <w:rsid w:val="002E28B5"/>
    <w:rsid w:val="002E2E9C"/>
    <w:rsid w:val="002E345A"/>
    <w:rsid w:val="002E3A26"/>
    <w:rsid w:val="002E439F"/>
    <w:rsid w:val="002E4F7C"/>
    <w:rsid w:val="002E50AF"/>
    <w:rsid w:val="002E5E92"/>
    <w:rsid w:val="002E77A1"/>
    <w:rsid w:val="002E7BB5"/>
    <w:rsid w:val="002F11A0"/>
    <w:rsid w:val="002F3C38"/>
    <w:rsid w:val="002F3E3B"/>
    <w:rsid w:val="002F3F4C"/>
    <w:rsid w:val="002F47A8"/>
    <w:rsid w:val="002F4BE3"/>
    <w:rsid w:val="002F4FC2"/>
    <w:rsid w:val="002F5C5F"/>
    <w:rsid w:val="002F6396"/>
    <w:rsid w:val="002F6C6C"/>
    <w:rsid w:val="002F6C92"/>
    <w:rsid w:val="002F6FE4"/>
    <w:rsid w:val="002F7C2B"/>
    <w:rsid w:val="0030076F"/>
    <w:rsid w:val="00301EA4"/>
    <w:rsid w:val="00301F5B"/>
    <w:rsid w:val="003025B8"/>
    <w:rsid w:val="00302B45"/>
    <w:rsid w:val="00302D2E"/>
    <w:rsid w:val="00302DD6"/>
    <w:rsid w:val="00303E26"/>
    <w:rsid w:val="00304131"/>
    <w:rsid w:val="003043EE"/>
    <w:rsid w:val="003049AF"/>
    <w:rsid w:val="00304D39"/>
    <w:rsid w:val="00304E90"/>
    <w:rsid w:val="0030519F"/>
    <w:rsid w:val="00306344"/>
    <w:rsid w:val="003064CB"/>
    <w:rsid w:val="0031005E"/>
    <w:rsid w:val="0031013B"/>
    <w:rsid w:val="00310297"/>
    <w:rsid w:val="0031029C"/>
    <w:rsid w:val="00310DFA"/>
    <w:rsid w:val="00310FC0"/>
    <w:rsid w:val="0031173D"/>
    <w:rsid w:val="00311A25"/>
    <w:rsid w:val="00312B2D"/>
    <w:rsid w:val="0031398C"/>
    <w:rsid w:val="00313DD9"/>
    <w:rsid w:val="003146F8"/>
    <w:rsid w:val="00314B3D"/>
    <w:rsid w:val="00315E2C"/>
    <w:rsid w:val="003171C6"/>
    <w:rsid w:val="00320798"/>
    <w:rsid w:val="00320B1B"/>
    <w:rsid w:val="00320F4D"/>
    <w:rsid w:val="00321080"/>
    <w:rsid w:val="003216ED"/>
    <w:rsid w:val="00321C3C"/>
    <w:rsid w:val="00321E65"/>
    <w:rsid w:val="003223E0"/>
    <w:rsid w:val="00322DBB"/>
    <w:rsid w:val="00322E9B"/>
    <w:rsid w:val="00323514"/>
    <w:rsid w:val="00323935"/>
    <w:rsid w:val="003239C6"/>
    <w:rsid w:val="00323D0F"/>
    <w:rsid w:val="00325159"/>
    <w:rsid w:val="00325870"/>
    <w:rsid w:val="00325B9A"/>
    <w:rsid w:val="003272AD"/>
    <w:rsid w:val="0032774B"/>
    <w:rsid w:val="00327A6C"/>
    <w:rsid w:val="00327AE7"/>
    <w:rsid w:val="00327EE8"/>
    <w:rsid w:val="00330286"/>
    <w:rsid w:val="0033031E"/>
    <w:rsid w:val="00330A42"/>
    <w:rsid w:val="00330A6A"/>
    <w:rsid w:val="00331204"/>
    <w:rsid w:val="0033140E"/>
    <w:rsid w:val="00331B53"/>
    <w:rsid w:val="00332260"/>
    <w:rsid w:val="00332B98"/>
    <w:rsid w:val="00332EF0"/>
    <w:rsid w:val="00332F28"/>
    <w:rsid w:val="00332F48"/>
    <w:rsid w:val="003335CC"/>
    <w:rsid w:val="00333620"/>
    <w:rsid w:val="00333A27"/>
    <w:rsid w:val="00333B4F"/>
    <w:rsid w:val="00334AEB"/>
    <w:rsid w:val="00334BA2"/>
    <w:rsid w:val="00334E67"/>
    <w:rsid w:val="0033514A"/>
    <w:rsid w:val="00335366"/>
    <w:rsid w:val="00336F9C"/>
    <w:rsid w:val="003371CB"/>
    <w:rsid w:val="003372DF"/>
    <w:rsid w:val="0033755A"/>
    <w:rsid w:val="00337B7F"/>
    <w:rsid w:val="00340402"/>
    <w:rsid w:val="003406F1"/>
    <w:rsid w:val="003408F6"/>
    <w:rsid w:val="00340E6B"/>
    <w:rsid w:val="0034168C"/>
    <w:rsid w:val="00341B7E"/>
    <w:rsid w:val="0034287C"/>
    <w:rsid w:val="00343509"/>
    <w:rsid w:val="00343DEE"/>
    <w:rsid w:val="00344159"/>
    <w:rsid w:val="00344340"/>
    <w:rsid w:val="00344A89"/>
    <w:rsid w:val="00345511"/>
    <w:rsid w:val="003465E6"/>
    <w:rsid w:val="00346B45"/>
    <w:rsid w:val="00346E01"/>
    <w:rsid w:val="003478AF"/>
    <w:rsid w:val="003502E4"/>
    <w:rsid w:val="00351545"/>
    <w:rsid w:val="00351578"/>
    <w:rsid w:val="00351756"/>
    <w:rsid w:val="00352CBD"/>
    <w:rsid w:val="00353BEC"/>
    <w:rsid w:val="003548DA"/>
    <w:rsid w:val="003555D7"/>
    <w:rsid w:val="00355D52"/>
    <w:rsid w:val="00355DE1"/>
    <w:rsid w:val="00355F7D"/>
    <w:rsid w:val="0035679E"/>
    <w:rsid w:val="00356E20"/>
    <w:rsid w:val="00357020"/>
    <w:rsid w:val="0035748E"/>
    <w:rsid w:val="0035762B"/>
    <w:rsid w:val="003578E6"/>
    <w:rsid w:val="0035790E"/>
    <w:rsid w:val="00357B22"/>
    <w:rsid w:val="00357CF7"/>
    <w:rsid w:val="00357D99"/>
    <w:rsid w:val="00362095"/>
    <w:rsid w:val="00363764"/>
    <w:rsid w:val="00363B34"/>
    <w:rsid w:val="00363B8E"/>
    <w:rsid w:val="003642F4"/>
    <w:rsid w:val="0036449C"/>
    <w:rsid w:val="00365CBD"/>
    <w:rsid w:val="00366637"/>
    <w:rsid w:val="00366AD8"/>
    <w:rsid w:val="00366B35"/>
    <w:rsid w:val="00366D77"/>
    <w:rsid w:val="00367A04"/>
    <w:rsid w:val="00367A84"/>
    <w:rsid w:val="00367E54"/>
    <w:rsid w:val="00367EAE"/>
    <w:rsid w:val="00372485"/>
    <w:rsid w:val="003733FB"/>
    <w:rsid w:val="00374625"/>
    <w:rsid w:val="00374908"/>
    <w:rsid w:val="00374E97"/>
    <w:rsid w:val="0037508C"/>
    <w:rsid w:val="003751C0"/>
    <w:rsid w:val="00375C7A"/>
    <w:rsid w:val="00375F50"/>
    <w:rsid w:val="003762FC"/>
    <w:rsid w:val="00376673"/>
    <w:rsid w:val="00376BB0"/>
    <w:rsid w:val="003779D8"/>
    <w:rsid w:val="00377E69"/>
    <w:rsid w:val="003802F4"/>
    <w:rsid w:val="0038054E"/>
    <w:rsid w:val="00380C7C"/>
    <w:rsid w:val="00380F66"/>
    <w:rsid w:val="00381893"/>
    <w:rsid w:val="00381C60"/>
    <w:rsid w:val="00381C66"/>
    <w:rsid w:val="00382044"/>
    <w:rsid w:val="003833D5"/>
    <w:rsid w:val="0038420B"/>
    <w:rsid w:val="003845B8"/>
    <w:rsid w:val="00385159"/>
    <w:rsid w:val="00385C41"/>
    <w:rsid w:val="00385D90"/>
    <w:rsid w:val="0039012B"/>
    <w:rsid w:val="0039026F"/>
    <w:rsid w:val="003904C9"/>
    <w:rsid w:val="00390675"/>
    <w:rsid w:val="00390F32"/>
    <w:rsid w:val="0039111E"/>
    <w:rsid w:val="003922F0"/>
    <w:rsid w:val="003923A8"/>
    <w:rsid w:val="003928D5"/>
    <w:rsid w:val="00392B51"/>
    <w:rsid w:val="0039332E"/>
    <w:rsid w:val="00393DAF"/>
    <w:rsid w:val="0039487E"/>
    <w:rsid w:val="003951FC"/>
    <w:rsid w:val="003975F6"/>
    <w:rsid w:val="003979B2"/>
    <w:rsid w:val="00397A00"/>
    <w:rsid w:val="00397EA2"/>
    <w:rsid w:val="003A01DB"/>
    <w:rsid w:val="003A08B2"/>
    <w:rsid w:val="003A0D98"/>
    <w:rsid w:val="003A211B"/>
    <w:rsid w:val="003A228D"/>
    <w:rsid w:val="003A2890"/>
    <w:rsid w:val="003A2F2F"/>
    <w:rsid w:val="003A3096"/>
    <w:rsid w:val="003A30E4"/>
    <w:rsid w:val="003A455C"/>
    <w:rsid w:val="003A4884"/>
    <w:rsid w:val="003A4B0D"/>
    <w:rsid w:val="003A50C1"/>
    <w:rsid w:val="003A52BA"/>
    <w:rsid w:val="003A5EEC"/>
    <w:rsid w:val="003A61AC"/>
    <w:rsid w:val="003A6569"/>
    <w:rsid w:val="003B1B04"/>
    <w:rsid w:val="003B2A99"/>
    <w:rsid w:val="003B2B8B"/>
    <w:rsid w:val="003B2F5B"/>
    <w:rsid w:val="003B372E"/>
    <w:rsid w:val="003B412B"/>
    <w:rsid w:val="003B4335"/>
    <w:rsid w:val="003B4DF3"/>
    <w:rsid w:val="003B51CA"/>
    <w:rsid w:val="003B5AA4"/>
    <w:rsid w:val="003B5EEC"/>
    <w:rsid w:val="003B6148"/>
    <w:rsid w:val="003B6F6C"/>
    <w:rsid w:val="003B7D46"/>
    <w:rsid w:val="003C0305"/>
    <w:rsid w:val="003C06EE"/>
    <w:rsid w:val="003C0C32"/>
    <w:rsid w:val="003C0E23"/>
    <w:rsid w:val="003C1E74"/>
    <w:rsid w:val="003C24E4"/>
    <w:rsid w:val="003C26E0"/>
    <w:rsid w:val="003C2764"/>
    <w:rsid w:val="003C2870"/>
    <w:rsid w:val="003C39B8"/>
    <w:rsid w:val="003C40A2"/>
    <w:rsid w:val="003C4853"/>
    <w:rsid w:val="003C5C39"/>
    <w:rsid w:val="003C69B2"/>
    <w:rsid w:val="003C7BE3"/>
    <w:rsid w:val="003C7FEC"/>
    <w:rsid w:val="003D0DFE"/>
    <w:rsid w:val="003D10E7"/>
    <w:rsid w:val="003D18B0"/>
    <w:rsid w:val="003D196D"/>
    <w:rsid w:val="003D24A5"/>
    <w:rsid w:val="003D2A41"/>
    <w:rsid w:val="003D2D80"/>
    <w:rsid w:val="003D3E57"/>
    <w:rsid w:val="003D4077"/>
    <w:rsid w:val="003D428F"/>
    <w:rsid w:val="003D4A2D"/>
    <w:rsid w:val="003D51B6"/>
    <w:rsid w:val="003D563F"/>
    <w:rsid w:val="003D5695"/>
    <w:rsid w:val="003D57FD"/>
    <w:rsid w:val="003D6067"/>
    <w:rsid w:val="003D6426"/>
    <w:rsid w:val="003D662A"/>
    <w:rsid w:val="003D6ABC"/>
    <w:rsid w:val="003D6BC3"/>
    <w:rsid w:val="003D6E4E"/>
    <w:rsid w:val="003D7144"/>
    <w:rsid w:val="003D718D"/>
    <w:rsid w:val="003D72AE"/>
    <w:rsid w:val="003E07EC"/>
    <w:rsid w:val="003E0C8F"/>
    <w:rsid w:val="003E1943"/>
    <w:rsid w:val="003E27C3"/>
    <w:rsid w:val="003E2C54"/>
    <w:rsid w:val="003E3902"/>
    <w:rsid w:val="003E3AAD"/>
    <w:rsid w:val="003E3E9A"/>
    <w:rsid w:val="003E44AC"/>
    <w:rsid w:val="003E5D62"/>
    <w:rsid w:val="003E5E38"/>
    <w:rsid w:val="003E5E5A"/>
    <w:rsid w:val="003E68CE"/>
    <w:rsid w:val="003E6976"/>
    <w:rsid w:val="003E6FAF"/>
    <w:rsid w:val="003E6FC6"/>
    <w:rsid w:val="003E724C"/>
    <w:rsid w:val="003F0503"/>
    <w:rsid w:val="003F056A"/>
    <w:rsid w:val="003F0574"/>
    <w:rsid w:val="003F077D"/>
    <w:rsid w:val="003F19C0"/>
    <w:rsid w:val="003F252D"/>
    <w:rsid w:val="003F3D09"/>
    <w:rsid w:val="003F3FE1"/>
    <w:rsid w:val="003F4688"/>
    <w:rsid w:val="003F6BF4"/>
    <w:rsid w:val="003F6C21"/>
    <w:rsid w:val="003F7207"/>
    <w:rsid w:val="003F76AF"/>
    <w:rsid w:val="00400EE6"/>
    <w:rsid w:val="00401098"/>
    <w:rsid w:val="00401968"/>
    <w:rsid w:val="00401C24"/>
    <w:rsid w:val="00401F64"/>
    <w:rsid w:val="00402383"/>
    <w:rsid w:val="00402BA1"/>
    <w:rsid w:val="004037CE"/>
    <w:rsid w:val="004038ED"/>
    <w:rsid w:val="00403A1F"/>
    <w:rsid w:val="00405001"/>
    <w:rsid w:val="0040516F"/>
    <w:rsid w:val="004054A7"/>
    <w:rsid w:val="00405DD9"/>
    <w:rsid w:val="004061C7"/>
    <w:rsid w:val="00406827"/>
    <w:rsid w:val="004069CB"/>
    <w:rsid w:val="00406D65"/>
    <w:rsid w:val="00406EFC"/>
    <w:rsid w:val="004071CD"/>
    <w:rsid w:val="00407934"/>
    <w:rsid w:val="00407BF7"/>
    <w:rsid w:val="00410010"/>
    <w:rsid w:val="004120C4"/>
    <w:rsid w:val="00414B9C"/>
    <w:rsid w:val="00415286"/>
    <w:rsid w:val="004156B5"/>
    <w:rsid w:val="00415BA0"/>
    <w:rsid w:val="00416953"/>
    <w:rsid w:val="00417C36"/>
    <w:rsid w:val="0042073A"/>
    <w:rsid w:val="004213AD"/>
    <w:rsid w:val="004218C7"/>
    <w:rsid w:val="004220DF"/>
    <w:rsid w:val="00423E85"/>
    <w:rsid w:val="004240D0"/>
    <w:rsid w:val="0042456C"/>
    <w:rsid w:val="004252FE"/>
    <w:rsid w:val="00425D06"/>
    <w:rsid w:val="004264C9"/>
    <w:rsid w:val="00426978"/>
    <w:rsid w:val="00426BFA"/>
    <w:rsid w:val="00427334"/>
    <w:rsid w:val="004317AB"/>
    <w:rsid w:val="0043180F"/>
    <w:rsid w:val="004319F6"/>
    <w:rsid w:val="00431E46"/>
    <w:rsid w:val="00432C85"/>
    <w:rsid w:val="00432FD9"/>
    <w:rsid w:val="004332C7"/>
    <w:rsid w:val="00433A37"/>
    <w:rsid w:val="00433F1B"/>
    <w:rsid w:val="00434616"/>
    <w:rsid w:val="00435D4A"/>
    <w:rsid w:val="0043713B"/>
    <w:rsid w:val="00437180"/>
    <w:rsid w:val="00440E99"/>
    <w:rsid w:val="0044209B"/>
    <w:rsid w:val="00442235"/>
    <w:rsid w:val="004435BD"/>
    <w:rsid w:val="00443AFC"/>
    <w:rsid w:val="00444C96"/>
    <w:rsid w:val="00444CFE"/>
    <w:rsid w:val="00446765"/>
    <w:rsid w:val="00446E40"/>
    <w:rsid w:val="0044727D"/>
    <w:rsid w:val="004501AD"/>
    <w:rsid w:val="00450452"/>
    <w:rsid w:val="004504DC"/>
    <w:rsid w:val="004506BC"/>
    <w:rsid w:val="004506D8"/>
    <w:rsid w:val="00450940"/>
    <w:rsid w:val="00450A61"/>
    <w:rsid w:val="00450F1B"/>
    <w:rsid w:val="0045128A"/>
    <w:rsid w:val="00451945"/>
    <w:rsid w:val="00451BF1"/>
    <w:rsid w:val="0045352C"/>
    <w:rsid w:val="00453674"/>
    <w:rsid w:val="004537C9"/>
    <w:rsid w:val="00453885"/>
    <w:rsid w:val="0045428F"/>
    <w:rsid w:val="004554E8"/>
    <w:rsid w:val="00455E52"/>
    <w:rsid w:val="00455F43"/>
    <w:rsid w:val="00456A56"/>
    <w:rsid w:val="004571DB"/>
    <w:rsid w:val="0045729E"/>
    <w:rsid w:val="00457AB1"/>
    <w:rsid w:val="004607D7"/>
    <w:rsid w:val="00460C75"/>
    <w:rsid w:val="00460FA9"/>
    <w:rsid w:val="004613E3"/>
    <w:rsid w:val="0046152B"/>
    <w:rsid w:val="0046169C"/>
    <w:rsid w:val="00461ACB"/>
    <w:rsid w:val="00461B04"/>
    <w:rsid w:val="00461F41"/>
    <w:rsid w:val="004628E3"/>
    <w:rsid w:val="00462A9A"/>
    <w:rsid w:val="00462F47"/>
    <w:rsid w:val="004632BD"/>
    <w:rsid w:val="00463F94"/>
    <w:rsid w:val="004642C2"/>
    <w:rsid w:val="00464B9F"/>
    <w:rsid w:val="00464C24"/>
    <w:rsid w:val="004655C3"/>
    <w:rsid w:val="00466186"/>
    <w:rsid w:val="004661ED"/>
    <w:rsid w:val="004662D0"/>
    <w:rsid w:val="004672CB"/>
    <w:rsid w:val="00467AD3"/>
    <w:rsid w:val="00467DE5"/>
    <w:rsid w:val="00467E29"/>
    <w:rsid w:val="00470E43"/>
    <w:rsid w:val="0047214B"/>
    <w:rsid w:val="004723BD"/>
    <w:rsid w:val="0047348C"/>
    <w:rsid w:val="00473A37"/>
    <w:rsid w:val="00474317"/>
    <w:rsid w:val="00474473"/>
    <w:rsid w:val="00475128"/>
    <w:rsid w:val="00475394"/>
    <w:rsid w:val="004754F5"/>
    <w:rsid w:val="00475E7A"/>
    <w:rsid w:val="00475EE2"/>
    <w:rsid w:val="00476175"/>
    <w:rsid w:val="0047667E"/>
    <w:rsid w:val="00476A64"/>
    <w:rsid w:val="00477BDC"/>
    <w:rsid w:val="00480150"/>
    <w:rsid w:val="004802F1"/>
    <w:rsid w:val="00480514"/>
    <w:rsid w:val="0048062F"/>
    <w:rsid w:val="00480993"/>
    <w:rsid w:val="00480D8B"/>
    <w:rsid w:val="00480ED4"/>
    <w:rsid w:val="00480F52"/>
    <w:rsid w:val="00480FDB"/>
    <w:rsid w:val="00480FDF"/>
    <w:rsid w:val="004815A1"/>
    <w:rsid w:val="00481BBC"/>
    <w:rsid w:val="0048328F"/>
    <w:rsid w:val="004832E7"/>
    <w:rsid w:val="004837FA"/>
    <w:rsid w:val="00484654"/>
    <w:rsid w:val="00484843"/>
    <w:rsid w:val="0048486E"/>
    <w:rsid w:val="00484D12"/>
    <w:rsid w:val="004851D6"/>
    <w:rsid w:val="00485249"/>
    <w:rsid w:val="004852E0"/>
    <w:rsid w:val="00485A83"/>
    <w:rsid w:val="00485AB6"/>
    <w:rsid w:val="00485B79"/>
    <w:rsid w:val="00485E62"/>
    <w:rsid w:val="0048601D"/>
    <w:rsid w:val="004861A7"/>
    <w:rsid w:val="00486CFC"/>
    <w:rsid w:val="00486DA6"/>
    <w:rsid w:val="00487078"/>
    <w:rsid w:val="004870F0"/>
    <w:rsid w:val="0049068C"/>
    <w:rsid w:val="00490A83"/>
    <w:rsid w:val="00490D7C"/>
    <w:rsid w:val="00490E0B"/>
    <w:rsid w:val="004911BC"/>
    <w:rsid w:val="00491AE9"/>
    <w:rsid w:val="00493449"/>
    <w:rsid w:val="004942CF"/>
    <w:rsid w:val="004943C6"/>
    <w:rsid w:val="004947BF"/>
    <w:rsid w:val="0049503F"/>
    <w:rsid w:val="0049580C"/>
    <w:rsid w:val="00495849"/>
    <w:rsid w:val="00495DEA"/>
    <w:rsid w:val="00495F53"/>
    <w:rsid w:val="004966AB"/>
    <w:rsid w:val="00496A1D"/>
    <w:rsid w:val="00496C98"/>
    <w:rsid w:val="00496D42"/>
    <w:rsid w:val="00496E70"/>
    <w:rsid w:val="00497773"/>
    <w:rsid w:val="00497BE2"/>
    <w:rsid w:val="004A09F9"/>
    <w:rsid w:val="004A0F92"/>
    <w:rsid w:val="004A12A1"/>
    <w:rsid w:val="004A23DC"/>
    <w:rsid w:val="004A2489"/>
    <w:rsid w:val="004A2505"/>
    <w:rsid w:val="004A277C"/>
    <w:rsid w:val="004A293A"/>
    <w:rsid w:val="004A2F31"/>
    <w:rsid w:val="004A2FA6"/>
    <w:rsid w:val="004A3155"/>
    <w:rsid w:val="004A3E74"/>
    <w:rsid w:val="004A4A01"/>
    <w:rsid w:val="004A51AE"/>
    <w:rsid w:val="004A5518"/>
    <w:rsid w:val="004A5F8B"/>
    <w:rsid w:val="004A6FEF"/>
    <w:rsid w:val="004A79CC"/>
    <w:rsid w:val="004B0067"/>
    <w:rsid w:val="004B0487"/>
    <w:rsid w:val="004B06B0"/>
    <w:rsid w:val="004B0BC4"/>
    <w:rsid w:val="004B0DD7"/>
    <w:rsid w:val="004B1D3B"/>
    <w:rsid w:val="004B2887"/>
    <w:rsid w:val="004B28A2"/>
    <w:rsid w:val="004B2B7C"/>
    <w:rsid w:val="004B3061"/>
    <w:rsid w:val="004B32D1"/>
    <w:rsid w:val="004B3781"/>
    <w:rsid w:val="004B498E"/>
    <w:rsid w:val="004B4A4E"/>
    <w:rsid w:val="004B4AE5"/>
    <w:rsid w:val="004B56A2"/>
    <w:rsid w:val="004B5A51"/>
    <w:rsid w:val="004B621A"/>
    <w:rsid w:val="004B6475"/>
    <w:rsid w:val="004B6D28"/>
    <w:rsid w:val="004B6DF3"/>
    <w:rsid w:val="004C0981"/>
    <w:rsid w:val="004C0A97"/>
    <w:rsid w:val="004C0BAD"/>
    <w:rsid w:val="004C0C96"/>
    <w:rsid w:val="004C0EE3"/>
    <w:rsid w:val="004C29C1"/>
    <w:rsid w:val="004C4783"/>
    <w:rsid w:val="004C5064"/>
    <w:rsid w:val="004C5357"/>
    <w:rsid w:val="004C53D5"/>
    <w:rsid w:val="004C593E"/>
    <w:rsid w:val="004C5FD4"/>
    <w:rsid w:val="004C63BA"/>
    <w:rsid w:val="004C6728"/>
    <w:rsid w:val="004C6E48"/>
    <w:rsid w:val="004C742B"/>
    <w:rsid w:val="004C7B8C"/>
    <w:rsid w:val="004D01CC"/>
    <w:rsid w:val="004D1130"/>
    <w:rsid w:val="004D17E9"/>
    <w:rsid w:val="004D217C"/>
    <w:rsid w:val="004D3883"/>
    <w:rsid w:val="004D3EAA"/>
    <w:rsid w:val="004D45FB"/>
    <w:rsid w:val="004D4C2C"/>
    <w:rsid w:val="004D5415"/>
    <w:rsid w:val="004D5449"/>
    <w:rsid w:val="004D6019"/>
    <w:rsid w:val="004E113E"/>
    <w:rsid w:val="004E126F"/>
    <w:rsid w:val="004E1F0C"/>
    <w:rsid w:val="004E2723"/>
    <w:rsid w:val="004E2EC4"/>
    <w:rsid w:val="004E34B6"/>
    <w:rsid w:val="004E3F79"/>
    <w:rsid w:val="004E53BC"/>
    <w:rsid w:val="004E5A5C"/>
    <w:rsid w:val="004F108E"/>
    <w:rsid w:val="004F120C"/>
    <w:rsid w:val="004F2D9F"/>
    <w:rsid w:val="004F2ED5"/>
    <w:rsid w:val="004F308D"/>
    <w:rsid w:val="004F35B0"/>
    <w:rsid w:val="004F3ED0"/>
    <w:rsid w:val="004F46C7"/>
    <w:rsid w:val="004F4793"/>
    <w:rsid w:val="004F4CB1"/>
    <w:rsid w:val="004F54CF"/>
    <w:rsid w:val="004F55DF"/>
    <w:rsid w:val="004F6595"/>
    <w:rsid w:val="004F6639"/>
    <w:rsid w:val="004F6AC8"/>
    <w:rsid w:val="004F7072"/>
    <w:rsid w:val="004F776F"/>
    <w:rsid w:val="004F7B94"/>
    <w:rsid w:val="004F7E36"/>
    <w:rsid w:val="0050047E"/>
    <w:rsid w:val="00500E29"/>
    <w:rsid w:val="005019F0"/>
    <w:rsid w:val="00501A6B"/>
    <w:rsid w:val="00502B60"/>
    <w:rsid w:val="00502CC5"/>
    <w:rsid w:val="005033E1"/>
    <w:rsid w:val="005036CD"/>
    <w:rsid w:val="0050413C"/>
    <w:rsid w:val="0050470C"/>
    <w:rsid w:val="005047B7"/>
    <w:rsid w:val="00505468"/>
    <w:rsid w:val="00505FBE"/>
    <w:rsid w:val="0050649F"/>
    <w:rsid w:val="005065A4"/>
    <w:rsid w:val="00506ECE"/>
    <w:rsid w:val="00507643"/>
    <w:rsid w:val="00510125"/>
    <w:rsid w:val="0051091D"/>
    <w:rsid w:val="00511124"/>
    <w:rsid w:val="00512E90"/>
    <w:rsid w:val="0051380E"/>
    <w:rsid w:val="005157CA"/>
    <w:rsid w:val="00516190"/>
    <w:rsid w:val="0051623F"/>
    <w:rsid w:val="00516B66"/>
    <w:rsid w:val="00516C85"/>
    <w:rsid w:val="00517BC2"/>
    <w:rsid w:val="00520884"/>
    <w:rsid w:val="0052089E"/>
    <w:rsid w:val="00521389"/>
    <w:rsid w:val="00521540"/>
    <w:rsid w:val="00521A38"/>
    <w:rsid w:val="005220FC"/>
    <w:rsid w:val="005223C8"/>
    <w:rsid w:val="00522661"/>
    <w:rsid w:val="00522729"/>
    <w:rsid w:val="00522B46"/>
    <w:rsid w:val="00522E97"/>
    <w:rsid w:val="00523090"/>
    <w:rsid w:val="00523585"/>
    <w:rsid w:val="005238F5"/>
    <w:rsid w:val="005239E5"/>
    <w:rsid w:val="00524021"/>
    <w:rsid w:val="00524442"/>
    <w:rsid w:val="00524647"/>
    <w:rsid w:val="00525206"/>
    <w:rsid w:val="005253A7"/>
    <w:rsid w:val="005256AE"/>
    <w:rsid w:val="00525DD9"/>
    <w:rsid w:val="00525DDC"/>
    <w:rsid w:val="005262EA"/>
    <w:rsid w:val="00526CCF"/>
    <w:rsid w:val="00526F91"/>
    <w:rsid w:val="00527380"/>
    <w:rsid w:val="0052785E"/>
    <w:rsid w:val="00530AD6"/>
    <w:rsid w:val="0053145E"/>
    <w:rsid w:val="00531AA2"/>
    <w:rsid w:val="00531B44"/>
    <w:rsid w:val="00531E25"/>
    <w:rsid w:val="005323E5"/>
    <w:rsid w:val="00532842"/>
    <w:rsid w:val="0053353E"/>
    <w:rsid w:val="0053388E"/>
    <w:rsid w:val="005343D9"/>
    <w:rsid w:val="0053482F"/>
    <w:rsid w:val="00534FDC"/>
    <w:rsid w:val="00535742"/>
    <w:rsid w:val="00536005"/>
    <w:rsid w:val="00536FB7"/>
    <w:rsid w:val="00536FBC"/>
    <w:rsid w:val="0053715A"/>
    <w:rsid w:val="005378A1"/>
    <w:rsid w:val="00540C48"/>
    <w:rsid w:val="0054126C"/>
    <w:rsid w:val="005426EB"/>
    <w:rsid w:val="0054280A"/>
    <w:rsid w:val="00543F51"/>
    <w:rsid w:val="00544109"/>
    <w:rsid w:val="00544504"/>
    <w:rsid w:val="00545019"/>
    <w:rsid w:val="005452F4"/>
    <w:rsid w:val="00545BF6"/>
    <w:rsid w:val="005461F6"/>
    <w:rsid w:val="005472F8"/>
    <w:rsid w:val="00551ADC"/>
    <w:rsid w:val="00551C38"/>
    <w:rsid w:val="005522C6"/>
    <w:rsid w:val="00552FB5"/>
    <w:rsid w:val="005530C5"/>
    <w:rsid w:val="00553111"/>
    <w:rsid w:val="0055387D"/>
    <w:rsid w:val="005539B1"/>
    <w:rsid w:val="00554301"/>
    <w:rsid w:val="00554C8F"/>
    <w:rsid w:val="00555720"/>
    <w:rsid w:val="00555D19"/>
    <w:rsid w:val="0055629F"/>
    <w:rsid w:val="005562A7"/>
    <w:rsid w:val="005569D5"/>
    <w:rsid w:val="00556B86"/>
    <w:rsid w:val="00556BA3"/>
    <w:rsid w:val="00556C55"/>
    <w:rsid w:val="005578B4"/>
    <w:rsid w:val="00557D99"/>
    <w:rsid w:val="00560B50"/>
    <w:rsid w:val="00561371"/>
    <w:rsid w:val="00561CC5"/>
    <w:rsid w:val="00562210"/>
    <w:rsid w:val="0056271B"/>
    <w:rsid w:val="005627A0"/>
    <w:rsid w:val="00562A0B"/>
    <w:rsid w:val="00562ED2"/>
    <w:rsid w:val="00562FCC"/>
    <w:rsid w:val="00563FA0"/>
    <w:rsid w:val="00564EE2"/>
    <w:rsid w:val="00566B14"/>
    <w:rsid w:val="005672CF"/>
    <w:rsid w:val="005679F0"/>
    <w:rsid w:val="00567EC0"/>
    <w:rsid w:val="00570288"/>
    <w:rsid w:val="00570D63"/>
    <w:rsid w:val="0057169E"/>
    <w:rsid w:val="0057215F"/>
    <w:rsid w:val="00572996"/>
    <w:rsid w:val="0057299A"/>
    <w:rsid w:val="00572C71"/>
    <w:rsid w:val="00572DB5"/>
    <w:rsid w:val="00573015"/>
    <w:rsid w:val="005737B2"/>
    <w:rsid w:val="00575427"/>
    <w:rsid w:val="00575452"/>
    <w:rsid w:val="00575CB1"/>
    <w:rsid w:val="00576109"/>
    <w:rsid w:val="00576270"/>
    <w:rsid w:val="00576384"/>
    <w:rsid w:val="005765DC"/>
    <w:rsid w:val="0057664D"/>
    <w:rsid w:val="00577614"/>
    <w:rsid w:val="00577C2C"/>
    <w:rsid w:val="00580971"/>
    <w:rsid w:val="00581241"/>
    <w:rsid w:val="00581566"/>
    <w:rsid w:val="00581960"/>
    <w:rsid w:val="00581A16"/>
    <w:rsid w:val="00581E9B"/>
    <w:rsid w:val="005820B8"/>
    <w:rsid w:val="00583437"/>
    <w:rsid w:val="00583848"/>
    <w:rsid w:val="00584307"/>
    <w:rsid w:val="005845CC"/>
    <w:rsid w:val="00585129"/>
    <w:rsid w:val="00585D0B"/>
    <w:rsid w:val="005863DE"/>
    <w:rsid w:val="0058675D"/>
    <w:rsid w:val="00587266"/>
    <w:rsid w:val="00587985"/>
    <w:rsid w:val="00587A3E"/>
    <w:rsid w:val="00587C43"/>
    <w:rsid w:val="005906CC"/>
    <w:rsid w:val="005918E5"/>
    <w:rsid w:val="00591A85"/>
    <w:rsid w:val="00591DAC"/>
    <w:rsid w:val="005929D1"/>
    <w:rsid w:val="00592C5C"/>
    <w:rsid w:val="00592E6A"/>
    <w:rsid w:val="0059311A"/>
    <w:rsid w:val="0059327E"/>
    <w:rsid w:val="00593DB7"/>
    <w:rsid w:val="005953B6"/>
    <w:rsid w:val="0059541B"/>
    <w:rsid w:val="005955A4"/>
    <w:rsid w:val="005960A1"/>
    <w:rsid w:val="005961BB"/>
    <w:rsid w:val="005962BA"/>
    <w:rsid w:val="005965EA"/>
    <w:rsid w:val="00596AB1"/>
    <w:rsid w:val="00597FF2"/>
    <w:rsid w:val="005A1223"/>
    <w:rsid w:val="005A148B"/>
    <w:rsid w:val="005A1636"/>
    <w:rsid w:val="005A270B"/>
    <w:rsid w:val="005A2738"/>
    <w:rsid w:val="005A28D1"/>
    <w:rsid w:val="005A31D1"/>
    <w:rsid w:val="005A3303"/>
    <w:rsid w:val="005A3622"/>
    <w:rsid w:val="005A3A94"/>
    <w:rsid w:val="005A3B34"/>
    <w:rsid w:val="005A4ED3"/>
    <w:rsid w:val="005A5492"/>
    <w:rsid w:val="005A60FD"/>
    <w:rsid w:val="005A642E"/>
    <w:rsid w:val="005A68A7"/>
    <w:rsid w:val="005A7CC6"/>
    <w:rsid w:val="005B01C6"/>
    <w:rsid w:val="005B0242"/>
    <w:rsid w:val="005B072B"/>
    <w:rsid w:val="005B0850"/>
    <w:rsid w:val="005B1C4F"/>
    <w:rsid w:val="005B2C1B"/>
    <w:rsid w:val="005B309E"/>
    <w:rsid w:val="005B3D96"/>
    <w:rsid w:val="005B4B39"/>
    <w:rsid w:val="005B57A1"/>
    <w:rsid w:val="005B57EB"/>
    <w:rsid w:val="005B624A"/>
    <w:rsid w:val="005B63F0"/>
    <w:rsid w:val="005B682E"/>
    <w:rsid w:val="005B684D"/>
    <w:rsid w:val="005B7457"/>
    <w:rsid w:val="005C02FC"/>
    <w:rsid w:val="005C0989"/>
    <w:rsid w:val="005C0D71"/>
    <w:rsid w:val="005C0E91"/>
    <w:rsid w:val="005C1531"/>
    <w:rsid w:val="005C2243"/>
    <w:rsid w:val="005C2B9A"/>
    <w:rsid w:val="005C2DB3"/>
    <w:rsid w:val="005C3404"/>
    <w:rsid w:val="005C34C2"/>
    <w:rsid w:val="005C3C96"/>
    <w:rsid w:val="005C3C98"/>
    <w:rsid w:val="005C4110"/>
    <w:rsid w:val="005C41AA"/>
    <w:rsid w:val="005C4328"/>
    <w:rsid w:val="005C4BDA"/>
    <w:rsid w:val="005C5098"/>
    <w:rsid w:val="005C5261"/>
    <w:rsid w:val="005C6024"/>
    <w:rsid w:val="005C6149"/>
    <w:rsid w:val="005C6272"/>
    <w:rsid w:val="005C6317"/>
    <w:rsid w:val="005C6BD9"/>
    <w:rsid w:val="005C6F19"/>
    <w:rsid w:val="005C77F0"/>
    <w:rsid w:val="005C7BB8"/>
    <w:rsid w:val="005D1577"/>
    <w:rsid w:val="005D19FF"/>
    <w:rsid w:val="005D2324"/>
    <w:rsid w:val="005D254B"/>
    <w:rsid w:val="005D27D6"/>
    <w:rsid w:val="005D30D9"/>
    <w:rsid w:val="005D33EB"/>
    <w:rsid w:val="005D35F0"/>
    <w:rsid w:val="005D366C"/>
    <w:rsid w:val="005D3911"/>
    <w:rsid w:val="005D4116"/>
    <w:rsid w:val="005D45B3"/>
    <w:rsid w:val="005D46D9"/>
    <w:rsid w:val="005D4B11"/>
    <w:rsid w:val="005D4B84"/>
    <w:rsid w:val="005D5341"/>
    <w:rsid w:val="005D5A0B"/>
    <w:rsid w:val="005D738C"/>
    <w:rsid w:val="005D7CC7"/>
    <w:rsid w:val="005E0157"/>
    <w:rsid w:val="005E01DF"/>
    <w:rsid w:val="005E170F"/>
    <w:rsid w:val="005E1E46"/>
    <w:rsid w:val="005E21FE"/>
    <w:rsid w:val="005E2404"/>
    <w:rsid w:val="005E281F"/>
    <w:rsid w:val="005E2D70"/>
    <w:rsid w:val="005E34E1"/>
    <w:rsid w:val="005E3C87"/>
    <w:rsid w:val="005E46CC"/>
    <w:rsid w:val="005E4CE7"/>
    <w:rsid w:val="005E506C"/>
    <w:rsid w:val="005E51AC"/>
    <w:rsid w:val="005E52BA"/>
    <w:rsid w:val="005E64DE"/>
    <w:rsid w:val="005E7264"/>
    <w:rsid w:val="005E7B5D"/>
    <w:rsid w:val="005F0628"/>
    <w:rsid w:val="005F0946"/>
    <w:rsid w:val="005F12F9"/>
    <w:rsid w:val="005F13BC"/>
    <w:rsid w:val="005F1580"/>
    <w:rsid w:val="005F1D49"/>
    <w:rsid w:val="005F1D5C"/>
    <w:rsid w:val="005F20B3"/>
    <w:rsid w:val="005F2503"/>
    <w:rsid w:val="005F2D99"/>
    <w:rsid w:val="005F30FE"/>
    <w:rsid w:val="005F3C81"/>
    <w:rsid w:val="005F4276"/>
    <w:rsid w:val="005F4391"/>
    <w:rsid w:val="005F43A9"/>
    <w:rsid w:val="005F4948"/>
    <w:rsid w:val="005F49CB"/>
    <w:rsid w:val="005F5FB6"/>
    <w:rsid w:val="005F658A"/>
    <w:rsid w:val="005F67A2"/>
    <w:rsid w:val="005F6FC2"/>
    <w:rsid w:val="005F7E46"/>
    <w:rsid w:val="0060069B"/>
    <w:rsid w:val="00601561"/>
    <w:rsid w:val="00601A1D"/>
    <w:rsid w:val="00601E69"/>
    <w:rsid w:val="006028A4"/>
    <w:rsid w:val="00602B19"/>
    <w:rsid w:val="00603A47"/>
    <w:rsid w:val="006043CB"/>
    <w:rsid w:val="00604469"/>
    <w:rsid w:val="00605CA1"/>
    <w:rsid w:val="00605FDD"/>
    <w:rsid w:val="00606CE2"/>
    <w:rsid w:val="00607AFC"/>
    <w:rsid w:val="00607D18"/>
    <w:rsid w:val="006110CF"/>
    <w:rsid w:val="006112B5"/>
    <w:rsid w:val="006115D9"/>
    <w:rsid w:val="00611F11"/>
    <w:rsid w:val="00612245"/>
    <w:rsid w:val="006122AC"/>
    <w:rsid w:val="006129A4"/>
    <w:rsid w:val="00612BFB"/>
    <w:rsid w:val="00613C4A"/>
    <w:rsid w:val="00613EAE"/>
    <w:rsid w:val="00614A02"/>
    <w:rsid w:val="00614F68"/>
    <w:rsid w:val="00615EFE"/>
    <w:rsid w:val="0061645B"/>
    <w:rsid w:val="00616AEC"/>
    <w:rsid w:val="006170E4"/>
    <w:rsid w:val="00620421"/>
    <w:rsid w:val="006208A0"/>
    <w:rsid w:val="00620BE5"/>
    <w:rsid w:val="00620E29"/>
    <w:rsid w:val="0062148A"/>
    <w:rsid w:val="006218C4"/>
    <w:rsid w:val="006221B6"/>
    <w:rsid w:val="00622D51"/>
    <w:rsid w:val="00622DD4"/>
    <w:rsid w:val="00622EC5"/>
    <w:rsid w:val="00623EA0"/>
    <w:rsid w:val="0062523E"/>
    <w:rsid w:val="0062531C"/>
    <w:rsid w:val="00625F2C"/>
    <w:rsid w:val="00626862"/>
    <w:rsid w:val="0062747F"/>
    <w:rsid w:val="006276D7"/>
    <w:rsid w:val="00630E3D"/>
    <w:rsid w:val="00631648"/>
    <w:rsid w:val="006318A2"/>
    <w:rsid w:val="00631959"/>
    <w:rsid w:val="006329C3"/>
    <w:rsid w:val="00632D02"/>
    <w:rsid w:val="00633E85"/>
    <w:rsid w:val="00633F99"/>
    <w:rsid w:val="00634070"/>
    <w:rsid w:val="0063450E"/>
    <w:rsid w:val="0063481E"/>
    <w:rsid w:val="006358EA"/>
    <w:rsid w:val="0063617B"/>
    <w:rsid w:val="00636DE4"/>
    <w:rsid w:val="00636F82"/>
    <w:rsid w:val="00637939"/>
    <w:rsid w:val="00637CC1"/>
    <w:rsid w:val="006404F4"/>
    <w:rsid w:val="00640AC2"/>
    <w:rsid w:val="006416E6"/>
    <w:rsid w:val="006420CA"/>
    <w:rsid w:val="00642628"/>
    <w:rsid w:val="006438B3"/>
    <w:rsid w:val="00643B66"/>
    <w:rsid w:val="00643E6C"/>
    <w:rsid w:val="0064475D"/>
    <w:rsid w:val="006448FC"/>
    <w:rsid w:val="00645B71"/>
    <w:rsid w:val="00645F12"/>
    <w:rsid w:val="006466CA"/>
    <w:rsid w:val="006466DA"/>
    <w:rsid w:val="00646AE0"/>
    <w:rsid w:val="00646DA7"/>
    <w:rsid w:val="0064717B"/>
    <w:rsid w:val="00647898"/>
    <w:rsid w:val="00647902"/>
    <w:rsid w:val="006500BF"/>
    <w:rsid w:val="00650507"/>
    <w:rsid w:val="00650E82"/>
    <w:rsid w:val="00651876"/>
    <w:rsid w:val="00652036"/>
    <w:rsid w:val="006520A9"/>
    <w:rsid w:val="00652B67"/>
    <w:rsid w:val="00652E22"/>
    <w:rsid w:val="00653185"/>
    <w:rsid w:val="00653272"/>
    <w:rsid w:val="00653472"/>
    <w:rsid w:val="00654068"/>
    <w:rsid w:val="00655567"/>
    <w:rsid w:val="006557CA"/>
    <w:rsid w:val="00656245"/>
    <w:rsid w:val="006564F8"/>
    <w:rsid w:val="0065679D"/>
    <w:rsid w:val="00656C6A"/>
    <w:rsid w:val="00656CE5"/>
    <w:rsid w:val="006574F9"/>
    <w:rsid w:val="006578B6"/>
    <w:rsid w:val="0066000D"/>
    <w:rsid w:val="0066034A"/>
    <w:rsid w:val="006607C2"/>
    <w:rsid w:val="00660F93"/>
    <w:rsid w:val="0066185C"/>
    <w:rsid w:val="006618D9"/>
    <w:rsid w:val="00662081"/>
    <w:rsid w:val="006623A9"/>
    <w:rsid w:val="006633A6"/>
    <w:rsid w:val="00664CB3"/>
    <w:rsid w:val="00665AA9"/>
    <w:rsid w:val="00665AE7"/>
    <w:rsid w:val="00665B96"/>
    <w:rsid w:val="0066698D"/>
    <w:rsid w:val="006670F3"/>
    <w:rsid w:val="00667985"/>
    <w:rsid w:val="00670251"/>
    <w:rsid w:val="006702B0"/>
    <w:rsid w:val="00670AA0"/>
    <w:rsid w:val="00670DEC"/>
    <w:rsid w:val="00671352"/>
    <w:rsid w:val="00671427"/>
    <w:rsid w:val="00673C2E"/>
    <w:rsid w:val="00674234"/>
    <w:rsid w:val="00675083"/>
    <w:rsid w:val="00675349"/>
    <w:rsid w:val="006753AA"/>
    <w:rsid w:val="00675E2B"/>
    <w:rsid w:val="00676847"/>
    <w:rsid w:val="00676911"/>
    <w:rsid w:val="00676973"/>
    <w:rsid w:val="00676F0F"/>
    <w:rsid w:val="00676F1D"/>
    <w:rsid w:val="00677296"/>
    <w:rsid w:val="00677470"/>
    <w:rsid w:val="0067779B"/>
    <w:rsid w:val="00677A38"/>
    <w:rsid w:val="00677A8C"/>
    <w:rsid w:val="006800CB"/>
    <w:rsid w:val="006806D5"/>
    <w:rsid w:val="00681249"/>
    <w:rsid w:val="006813CD"/>
    <w:rsid w:val="0068176D"/>
    <w:rsid w:val="0068177E"/>
    <w:rsid w:val="006823F3"/>
    <w:rsid w:val="00682407"/>
    <w:rsid w:val="00683033"/>
    <w:rsid w:val="0068398F"/>
    <w:rsid w:val="00683AB6"/>
    <w:rsid w:val="00683B3A"/>
    <w:rsid w:val="0068482B"/>
    <w:rsid w:val="00684BA0"/>
    <w:rsid w:val="00684DD0"/>
    <w:rsid w:val="00685E31"/>
    <w:rsid w:val="00686565"/>
    <w:rsid w:val="00686A8C"/>
    <w:rsid w:val="00686E18"/>
    <w:rsid w:val="006874B8"/>
    <w:rsid w:val="00687C2C"/>
    <w:rsid w:val="006909D5"/>
    <w:rsid w:val="0069138A"/>
    <w:rsid w:val="006920DE"/>
    <w:rsid w:val="00692C82"/>
    <w:rsid w:val="00693575"/>
    <w:rsid w:val="00693679"/>
    <w:rsid w:val="00694049"/>
    <w:rsid w:val="006941CB"/>
    <w:rsid w:val="0069425C"/>
    <w:rsid w:val="0069504E"/>
    <w:rsid w:val="0069564C"/>
    <w:rsid w:val="00695BE5"/>
    <w:rsid w:val="00696332"/>
    <w:rsid w:val="006970DF"/>
    <w:rsid w:val="00697915"/>
    <w:rsid w:val="006A0454"/>
    <w:rsid w:val="006A05E5"/>
    <w:rsid w:val="006A13BC"/>
    <w:rsid w:val="006A1F19"/>
    <w:rsid w:val="006A290D"/>
    <w:rsid w:val="006A2D9C"/>
    <w:rsid w:val="006A357D"/>
    <w:rsid w:val="006A42A7"/>
    <w:rsid w:val="006A43BF"/>
    <w:rsid w:val="006A4405"/>
    <w:rsid w:val="006A47E6"/>
    <w:rsid w:val="006A4BA6"/>
    <w:rsid w:val="006A5432"/>
    <w:rsid w:val="006A5C38"/>
    <w:rsid w:val="006A5E2B"/>
    <w:rsid w:val="006A6048"/>
    <w:rsid w:val="006A61CB"/>
    <w:rsid w:val="006A6986"/>
    <w:rsid w:val="006A6C60"/>
    <w:rsid w:val="006A7508"/>
    <w:rsid w:val="006A7CDB"/>
    <w:rsid w:val="006A7D92"/>
    <w:rsid w:val="006B0835"/>
    <w:rsid w:val="006B0C98"/>
    <w:rsid w:val="006B0E30"/>
    <w:rsid w:val="006B12AE"/>
    <w:rsid w:val="006B163C"/>
    <w:rsid w:val="006B19E3"/>
    <w:rsid w:val="006B1A03"/>
    <w:rsid w:val="006B1CD7"/>
    <w:rsid w:val="006B1E5C"/>
    <w:rsid w:val="006B1F8D"/>
    <w:rsid w:val="006B286B"/>
    <w:rsid w:val="006B2904"/>
    <w:rsid w:val="006B2D55"/>
    <w:rsid w:val="006B387B"/>
    <w:rsid w:val="006B5156"/>
    <w:rsid w:val="006B5499"/>
    <w:rsid w:val="006B5984"/>
    <w:rsid w:val="006B5C05"/>
    <w:rsid w:val="006B6826"/>
    <w:rsid w:val="006B6C4B"/>
    <w:rsid w:val="006B6D77"/>
    <w:rsid w:val="006B72B2"/>
    <w:rsid w:val="006B7818"/>
    <w:rsid w:val="006C02AD"/>
    <w:rsid w:val="006C0FAC"/>
    <w:rsid w:val="006C109C"/>
    <w:rsid w:val="006C1334"/>
    <w:rsid w:val="006C1FBE"/>
    <w:rsid w:val="006C27CE"/>
    <w:rsid w:val="006C28E5"/>
    <w:rsid w:val="006C32F0"/>
    <w:rsid w:val="006C438E"/>
    <w:rsid w:val="006C4733"/>
    <w:rsid w:val="006C568E"/>
    <w:rsid w:val="006C5989"/>
    <w:rsid w:val="006C65C1"/>
    <w:rsid w:val="006C697E"/>
    <w:rsid w:val="006C6E99"/>
    <w:rsid w:val="006C71B9"/>
    <w:rsid w:val="006C7A6E"/>
    <w:rsid w:val="006C7AC8"/>
    <w:rsid w:val="006D01E5"/>
    <w:rsid w:val="006D055E"/>
    <w:rsid w:val="006D09A1"/>
    <w:rsid w:val="006D1029"/>
    <w:rsid w:val="006D131E"/>
    <w:rsid w:val="006D14C7"/>
    <w:rsid w:val="006D1C70"/>
    <w:rsid w:val="006D21EF"/>
    <w:rsid w:val="006D2C89"/>
    <w:rsid w:val="006D308A"/>
    <w:rsid w:val="006D37A7"/>
    <w:rsid w:val="006D44F8"/>
    <w:rsid w:val="006D5635"/>
    <w:rsid w:val="006D5988"/>
    <w:rsid w:val="006D5AD3"/>
    <w:rsid w:val="006D5DD6"/>
    <w:rsid w:val="006D5FB7"/>
    <w:rsid w:val="006D72DB"/>
    <w:rsid w:val="006D780D"/>
    <w:rsid w:val="006D7830"/>
    <w:rsid w:val="006D7FEC"/>
    <w:rsid w:val="006E122C"/>
    <w:rsid w:val="006E1865"/>
    <w:rsid w:val="006E1ECB"/>
    <w:rsid w:val="006E1F72"/>
    <w:rsid w:val="006E21FC"/>
    <w:rsid w:val="006E306C"/>
    <w:rsid w:val="006E3132"/>
    <w:rsid w:val="006E3871"/>
    <w:rsid w:val="006E38DD"/>
    <w:rsid w:val="006E3B4B"/>
    <w:rsid w:val="006E3C09"/>
    <w:rsid w:val="006E3DE0"/>
    <w:rsid w:val="006E4609"/>
    <w:rsid w:val="006E489D"/>
    <w:rsid w:val="006E4D74"/>
    <w:rsid w:val="006E4FE6"/>
    <w:rsid w:val="006E532C"/>
    <w:rsid w:val="006E5F25"/>
    <w:rsid w:val="006E6332"/>
    <w:rsid w:val="006E693C"/>
    <w:rsid w:val="006E703C"/>
    <w:rsid w:val="006E79BB"/>
    <w:rsid w:val="006E7B21"/>
    <w:rsid w:val="006E7F1F"/>
    <w:rsid w:val="006F0829"/>
    <w:rsid w:val="006F0C1E"/>
    <w:rsid w:val="006F1272"/>
    <w:rsid w:val="006F1331"/>
    <w:rsid w:val="006F176A"/>
    <w:rsid w:val="006F17AF"/>
    <w:rsid w:val="006F19E3"/>
    <w:rsid w:val="006F1AA6"/>
    <w:rsid w:val="006F20AF"/>
    <w:rsid w:val="006F25A2"/>
    <w:rsid w:val="006F2A8A"/>
    <w:rsid w:val="006F4F10"/>
    <w:rsid w:val="006F50B0"/>
    <w:rsid w:val="006F53B2"/>
    <w:rsid w:val="006F5AE6"/>
    <w:rsid w:val="006F648F"/>
    <w:rsid w:val="006F6764"/>
    <w:rsid w:val="006F7272"/>
    <w:rsid w:val="006F7DE3"/>
    <w:rsid w:val="00701117"/>
    <w:rsid w:val="0070197C"/>
    <w:rsid w:val="00701B4A"/>
    <w:rsid w:val="00702763"/>
    <w:rsid w:val="00703145"/>
    <w:rsid w:val="0070421A"/>
    <w:rsid w:val="007042C8"/>
    <w:rsid w:val="00704605"/>
    <w:rsid w:val="00704F7D"/>
    <w:rsid w:val="00705459"/>
    <w:rsid w:val="00705DFA"/>
    <w:rsid w:val="00705F40"/>
    <w:rsid w:val="00706933"/>
    <w:rsid w:val="0070713B"/>
    <w:rsid w:val="007072EC"/>
    <w:rsid w:val="007100D1"/>
    <w:rsid w:val="0071095A"/>
    <w:rsid w:val="007111BC"/>
    <w:rsid w:val="00711932"/>
    <w:rsid w:val="00712A7F"/>
    <w:rsid w:val="007132D1"/>
    <w:rsid w:val="00713379"/>
    <w:rsid w:val="007136DD"/>
    <w:rsid w:val="0071373A"/>
    <w:rsid w:val="00713F22"/>
    <w:rsid w:val="0071403D"/>
    <w:rsid w:val="007141E3"/>
    <w:rsid w:val="00714F11"/>
    <w:rsid w:val="0071577A"/>
    <w:rsid w:val="00715A0B"/>
    <w:rsid w:val="00715B32"/>
    <w:rsid w:val="00715F60"/>
    <w:rsid w:val="007160B9"/>
    <w:rsid w:val="00717283"/>
    <w:rsid w:val="007177F9"/>
    <w:rsid w:val="0072072D"/>
    <w:rsid w:val="00720CEB"/>
    <w:rsid w:val="00721339"/>
    <w:rsid w:val="0072160A"/>
    <w:rsid w:val="007216EF"/>
    <w:rsid w:val="00721826"/>
    <w:rsid w:val="0072192E"/>
    <w:rsid w:val="00721C77"/>
    <w:rsid w:val="00721D6B"/>
    <w:rsid w:val="0072281A"/>
    <w:rsid w:val="00722C38"/>
    <w:rsid w:val="00722CEF"/>
    <w:rsid w:val="007236BF"/>
    <w:rsid w:val="007237B9"/>
    <w:rsid w:val="007238D4"/>
    <w:rsid w:val="00724327"/>
    <w:rsid w:val="00724BF8"/>
    <w:rsid w:val="00724D87"/>
    <w:rsid w:val="007259B7"/>
    <w:rsid w:val="00725A7E"/>
    <w:rsid w:val="007262E5"/>
    <w:rsid w:val="00726705"/>
    <w:rsid w:val="0072785A"/>
    <w:rsid w:val="00727D89"/>
    <w:rsid w:val="00727EE1"/>
    <w:rsid w:val="00727F12"/>
    <w:rsid w:val="00731684"/>
    <w:rsid w:val="007317FD"/>
    <w:rsid w:val="00731D9E"/>
    <w:rsid w:val="00731F64"/>
    <w:rsid w:val="007322BF"/>
    <w:rsid w:val="0073280A"/>
    <w:rsid w:val="00732CB4"/>
    <w:rsid w:val="00732D8C"/>
    <w:rsid w:val="007341BC"/>
    <w:rsid w:val="007341E5"/>
    <w:rsid w:val="00734604"/>
    <w:rsid w:val="00734BFF"/>
    <w:rsid w:val="00735693"/>
    <w:rsid w:val="0073572A"/>
    <w:rsid w:val="007368E0"/>
    <w:rsid w:val="00736904"/>
    <w:rsid w:val="007371FD"/>
    <w:rsid w:val="0073770F"/>
    <w:rsid w:val="007402F4"/>
    <w:rsid w:val="00740BC5"/>
    <w:rsid w:val="00740D33"/>
    <w:rsid w:val="00742AFB"/>
    <w:rsid w:val="00743525"/>
    <w:rsid w:val="00743929"/>
    <w:rsid w:val="00743AEC"/>
    <w:rsid w:val="00743B76"/>
    <w:rsid w:val="007449F7"/>
    <w:rsid w:val="00744AB0"/>
    <w:rsid w:val="007461A3"/>
    <w:rsid w:val="007467EF"/>
    <w:rsid w:val="00746C1F"/>
    <w:rsid w:val="00747CCF"/>
    <w:rsid w:val="00750071"/>
    <w:rsid w:val="00750595"/>
    <w:rsid w:val="00750855"/>
    <w:rsid w:val="0075104A"/>
    <w:rsid w:val="0075175E"/>
    <w:rsid w:val="00752120"/>
    <w:rsid w:val="0075326B"/>
    <w:rsid w:val="007533A8"/>
    <w:rsid w:val="00753959"/>
    <w:rsid w:val="007539A6"/>
    <w:rsid w:val="00753A71"/>
    <w:rsid w:val="00753E83"/>
    <w:rsid w:val="00754A44"/>
    <w:rsid w:val="007554BE"/>
    <w:rsid w:val="00755582"/>
    <w:rsid w:val="00755DD3"/>
    <w:rsid w:val="00756593"/>
    <w:rsid w:val="007577F3"/>
    <w:rsid w:val="00757BAF"/>
    <w:rsid w:val="00757FE9"/>
    <w:rsid w:val="00760173"/>
    <w:rsid w:val="00760504"/>
    <w:rsid w:val="00760772"/>
    <w:rsid w:val="0076092A"/>
    <w:rsid w:val="00760BF0"/>
    <w:rsid w:val="00760C7B"/>
    <w:rsid w:val="00762ADB"/>
    <w:rsid w:val="00762F33"/>
    <w:rsid w:val="00763518"/>
    <w:rsid w:val="00763668"/>
    <w:rsid w:val="00763829"/>
    <w:rsid w:val="00764139"/>
    <w:rsid w:val="00764EBB"/>
    <w:rsid w:val="00765EF2"/>
    <w:rsid w:val="0076653C"/>
    <w:rsid w:val="007665C9"/>
    <w:rsid w:val="00770474"/>
    <w:rsid w:val="007704CC"/>
    <w:rsid w:val="00770CCA"/>
    <w:rsid w:val="00770F55"/>
    <w:rsid w:val="007712B6"/>
    <w:rsid w:val="0077135B"/>
    <w:rsid w:val="0077276E"/>
    <w:rsid w:val="0077536F"/>
    <w:rsid w:val="00775414"/>
    <w:rsid w:val="0077547F"/>
    <w:rsid w:val="00775B88"/>
    <w:rsid w:val="00775BB6"/>
    <w:rsid w:val="0077659E"/>
    <w:rsid w:val="00777692"/>
    <w:rsid w:val="00777697"/>
    <w:rsid w:val="00781DA8"/>
    <w:rsid w:val="007828A7"/>
    <w:rsid w:val="00782A4F"/>
    <w:rsid w:val="00782A62"/>
    <w:rsid w:val="00783181"/>
    <w:rsid w:val="00784082"/>
    <w:rsid w:val="00784473"/>
    <w:rsid w:val="007847CE"/>
    <w:rsid w:val="00784DBA"/>
    <w:rsid w:val="00785AB6"/>
    <w:rsid w:val="00787048"/>
    <w:rsid w:val="00787461"/>
    <w:rsid w:val="007879ED"/>
    <w:rsid w:val="00790705"/>
    <w:rsid w:val="00790808"/>
    <w:rsid w:val="00790A1C"/>
    <w:rsid w:val="00790DC6"/>
    <w:rsid w:val="00791099"/>
    <w:rsid w:val="00791169"/>
    <w:rsid w:val="007915CF"/>
    <w:rsid w:val="007918D8"/>
    <w:rsid w:val="00791AC6"/>
    <w:rsid w:val="00791D2C"/>
    <w:rsid w:val="00792BDF"/>
    <w:rsid w:val="0079375F"/>
    <w:rsid w:val="007937EE"/>
    <w:rsid w:val="0079465D"/>
    <w:rsid w:val="00794A84"/>
    <w:rsid w:val="0079560F"/>
    <w:rsid w:val="00795FA5"/>
    <w:rsid w:val="00796FD5"/>
    <w:rsid w:val="0079703D"/>
    <w:rsid w:val="007975B6"/>
    <w:rsid w:val="00797859"/>
    <w:rsid w:val="00797DBE"/>
    <w:rsid w:val="007A0259"/>
    <w:rsid w:val="007A1407"/>
    <w:rsid w:val="007A17C6"/>
    <w:rsid w:val="007A190E"/>
    <w:rsid w:val="007A2074"/>
    <w:rsid w:val="007A26A7"/>
    <w:rsid w:val="007A31D6"/>
    <w:rsid w:val="007A37B8"/>
    <w:rsid w:val="007A3813"/>
    <w:rsid w:val="007A3E13"/>
    <w:rsid w:val="007A4D77"/>
    <w:rsid w:val="007A5F26"/>
    <w:rsid w:val="007B0176"/>
    <w:rsid w:val="007B0F76"/>
    <w:rsid w:val="007B13B8"/>
    <w:rsid w:val="007B1521"/>
    <w:rsid w:val="007B1CFA"/>
    <w:rsid w:val="007B1FE7"/>
    <w:rsid w:val="007B3153"/>
    <w:rsid w:val="007B3DDE"/>
    <w:rsid w:val="007B4A7B"/>
    <w:rsid w:val="007B4E02"/>
    <w:rsid w:val="007B5523"/>
    <w:rsid w:val="007B5802"/>
    <w:rsid w:val="007B5A3A"/>
    <w:rsid w:val="007B7520"/>
    <w:rsid w:val="007B773B"/>
    <w:rsid w:val="007B78BF"/>
    <w:rsid w:val="007C0148"/>
    <w:rsid w:val="007C02FB"/>
    <w:rsid w:val="007C066A"/>
    <w:rsid w:val="007C2600"/>
    <w:rsid w:val="007C2761"/>
    <w:rsid w:val="007C3102"/>
    <w:rsid w:val="007C3AD8"/>
    <w:rsid w:val="007C4F54"/>
    <w:rsid w:val="007C4F8F"/>
    <w:rsid w:val="007C5DE5"/>
    <w:rsid w:val="007C7621"/>
    <w:rsid w:val="007C78FC"/>
    <w:rsid w:val="007C7AED"/>
    <w:rsid w:val="007C7D75"/>
    <w:rsid w:val="007D0007"/>
    <w:rsid w:val="007D0058"/>
    <w:rsid w:val="007D05AE"/>
    <w:rsid w:val="007D1056"/>
    <w:rsid w:val="007D1135"/>
    <w:rsid w:val="007D18D2"/>
    <w:rsid w:val="007D257E"/>
    <w:rsid w:val="007D2D38"/>
    <w:rsid w:val="007D36E6"/>
    <w:rsid w:val="007D3E27"/>
    <w:rsid w:val="007D5006"/>
    <w:rsid w:val="007D5C9A"/>
    <w:rsid w:val="007D6CEB"/>
    <w:rsid w:val="007D7B4A"/>
    <w:rsid w:val="007E00D1"/>
    <w:rsid w:val="007E254A"/>
    <w:rsid w:val="007E2B67"/>
    <w:rsid w:val="007E2D2F"/>
    <w:rsid w:val="007E2FDC"/>
    <w:rsid w:val="007E3224"/>
    <w:rsid w:val="007E3CCB"/>
    <w:rsid w:val="007E3DF0"/>
    <w:rsid w:val="007E5F5B"/>
    <w:rsid w:val="007E6370"/>
    <w:rsid w:val="007E7544"/>
    <w:rsid w:val="007E755E"/>
    <w:rsid w:val="007E784A"/>
    <w:rsid w:val="007E7C5E"/>
    <w:rsid w:val="007E7D8F"/>
    <w:rsid w:val="007F0866"/>
    <w:rsid w:val="007F0EA9"/>
    <w:rsid w:val="007F103B"/>
    <w:rsid w:val="007F10E9"/>
    <w:rsid w:val="007F112C"/>
    <w:rsid w:val="007F13DD"/>
    <w:rsid w:val="007F1A50"/>
    <w:rsid w:val="007F1EB7"/>
    <w:rsid w:val="007F2054"/>
    <w:rsid w:val="007F256F"/>
    <w:rsid w:val="007F257B"/>
    <w:rsid w:val="007F2CC8"/>
    <w:rsid w:val="007F3557"/>
    <w:rsid w:val="007F4304"/>
    <w:rsid w:val="007F5AF1"/>
    <w:rsid w:val="007F61A8"/>
    <w:rsid w:val="007F7A15"/>
    <w:rsid w:val="00800275"/>
    <w:rsid w:val="008007CE"/>
    <w:rsid w:val="00800D3B"/>
    <w:rsid w:val="00801CAF"/>
    <w:rsid w:val="00801F47"/>
    <w:rsid w:val="008028DC"/>
    <w:rsid w:val="008030F2"/>
    <w:rsid w:val="0080337D"/>
    <w:rsid w:val="00803527"/>
    <w:rsid w:val="00803D93"/>
    <w:rsid w:val="00804A1A"/>
    <w:rsid w:val="00804E51"/>
    <w:rsid w:val="00805514"/>
    <w:rsid w:val="00805656"/>
    <w:rsid w:val="00806208"/>
    <w:rsid w:val="008068E1"/>
    <w:rsid w:val="008076B7"/>
    <w:rsid w:val="0080798F"/>
    <w:rsid w:val="00810114"/>
    <w:rsid w:val="008125ED"/>
    <w:rsid w:val="00812C3F"/>
    <w:rsid w:val="00813115"/>
    <w:rsid w:val="00813321"/>
    <w:rsid w:val="008138BB"/>
    <w:rsid w:val="00813C18"/>
    <w:rsid w:val="0081439A"/>
    <w:rsid w:val="00814AC8"/>
    <w:rsid w:val="00815C2B"/>
    <w:rsid w:val="0081630D"/>
    <w:rsid w:val="0081790A"/>
    <w:rsid w:val="00817C4E"/>
    <w:rsid w:val="00820178"/>
    <w:rsid w:val="008210A9"/>
    <w:rsid w:val="008214A8"/>
    <w:rsid w:val="008214BC"/>
    <w:rsid w:val="008216F0"/>
    <w:rsid w:val="00822500"/>
    <w:rsid w:val="008227F5"/>
    <w:rsid w:val="008232E1"/>
    <w:rsid w:val="00823665"/>
    <w:rsid w:val="008238B9"/>
    <w:rsid w:val="00823FB3"/>
    <w:rsid w:val="0082406C"/>
    <w:rsid w:val="0082429F"/>
    <w:rsid w:val="00826674"/>
    <w:rsid w:val="00826856"/>
    <w:rsid w:val="0083040E"/>
    <w:rsid w:val="00830C08"/>
    <w:rsid w:val="008328F4"/>
    <w:rsid w:val="0083297A"/>
    <w:rsid w:val="00832B7D"/>
    <w:rsid w:val="00832BBD"/>
    <w:rsid w:val="00832E49"/>
    <w:rsid w:val="0083336E"/>
    <w:rsid w:val="008352D9"/>
    <w:rsid w:val="008355D4"/>
    <w:rsid w:val="00835ED6"/>
    <w:rsid w:val="0083632A"/>
    <w:rsid w:val="008365FD"/>
    <w:rsid w:val="008369AA"/>
    <w:rsid w:val="00836ACD"/>
    <w:rsid w:val="00837E20"/>
    <w:rsid w:val="00837ECB"/>
    <w:rsid w:val="008408C4"/>
    <w:rsid w:val="008412B8"/>
    <w:rsid w:val="00841B53"/>
    <w:rsid w:val="00842760"/>
    <w:rsid w:val="00842A46"/>
    <w:rsid w:val="00842E13"/>
    <w:rsid w:val="00843432"/>
    <w:rsid w:val="00843589"/>
    <w:rsid w:val="0084369D"/>
    <w:rsid w:val="008437B1"/>
    <w:rsid w:val="00843E99"/>
    <w:rsid w:val="0084455F"/>
    <w:rsid w:val="0084468E"/>
    <w:rsid w:val="00844B8A"/>
    <w:rsid w:val="00846422"/>
    <w:rsid w:val="00846EAC"/>
    <w:rsid w:val="008519C1"/>
    <w:rsid w:val="00851F16"/>
    <w:rsid w:val="00851F4B"/>
    <w:rsid w:val="00853613"/>
    <w:rsid w:val="00854FE6"/>
    <w:rsid w:val="008551C1"/>
    <w:rsid w:val="00855245"/>
    <w:rsid w:val="0085656B"/>
    <w:rsid w:val="00856834"/>
    <w:rsid w:val="00856E19"/>
    <w:rsid w:val="00856F7E"/>
    <w:rsid w:val="00857553"/>
    <w:rsid w:val="008578F0"/>
    <w:rsid w:val="00860CF1"/>
    <w:rsid w:val="0086211E"/>
    <w:rsid w:val="0086237A"/>
    <w:rsid w:val="00863663"/>
    <w:rsid w:val="00864091"/>
    <w:rsid w:val="00864DB9"/>
    <w:rsid w:val="00865406"/>
    <w:rsid w:val="00865484"/>
    <w:rsid w:val="00865B76"/>
    <w:rsid w:val="00865B98"/>
    <w:rsid w:val="008667BC"/>
    <w:rsid w:val="00866BBE"/>
    <w:rsid w:val="008677C4"/>
    <w:rsid w:val="0086784A"/>
    <w:rsid w:val="0086785C"/>
    <w:rsid w:val="00867AA3"/>
    <w:rsid w:val="00867DD6"/>
    <w:rsid w:val="00867E25"/>
    <w:rsid w:val="0087074C"/>
    <w:rsid w:val="00870EB1"/>
    <w:rsid w:val="0087103E"/>
    <w:rsid w:val="00871206"/>
    <w:rsid w:val="00871551"/>
    <w:rsid w:val="00871736"/>
    <w:rsid w:val="00871B54"/>
    <w:rsid w:val="00872374"/>
    <w:rsid w:val="0087250E"/>
    <w:rsid w:val="00872B8A"/>
    <w:rsid w:val="00873979"/>
    <w:rsid w:val="008754A2"/>
    <w:rsid w:val="008758DD"/>
    <w:rsid w:val="00875913"/>
    <w:rsid w:val="00875B08"/>
    <w:rsid w:val="00875EB6"/>
    <w:rsid w:val="00875F34"/>
    <w:rsid w:val="008763CD"/>
    <w:rsid w:val="008778C0"/>
    <w:rsid w:val="008802C3"/>
    <w:rsid w:val="00880814"/>
    <w:rsid w:val="008808DD"/>
    <w:rsid w:val="00880F60"/>
    <w:rsid w:val="008814EC"/>
    <w:rsid w:val="00881D76"/>
    <w:rsid w:val="00882FA8"/>
    <w:rsid w:val="008848D0"/>
    <w:rsid w:val="00884A9F"/>
    <w:rsid w:val="00884C8E"/>
    <w:rsid w:val="00884EF3"/>
    <w:rsid w:val="008850F9"/>
    <w:rsid w:val="008852E8"/>
    <w:rsid w:val="0088542E"/>
    <w:rsid w:val="008861B2"/>
    <w:rsid w:val="00886710"/>
    <w:rsid w:val="008876C5"/>
    <w:rsid w:val="008878C2"/>
    <w:rsid w:val="00887B33"/>
    <w:rsid w:val="00887F3D"/>
    <w:rsid w:val="0089049F"/>
    <w:rsid w:val="00890CDC"/>
    <w:rsid w:val="00891480"/>
    <w:rsid w:val="008914D7"/>
    <w:rsid w:val="00891D5B"/>
    <w:rsid w:val="00892892"/>
    <w:rsid w:val="00892A1A"/>
    <w:rsid w:val="008945FF"/>
    <w:rsid w:val="00894A41"/>
    <w:rsid w:val="00894A5D"/>
    <w:rsid w:val="00894E9C"/>
    <w:rsid w:val="0089565E"/>
    <w:rsid w:val="008957AF"/>
    <w:rsid w:val="00895888"/>
    <w:rsid w:val="00895EF5"/>
    <w:rsid w:val="00896349"/>
    <w:rsid w:val="0089655A"/>
    <w:rsid w:val="00896F62"/>
    <w:rsid w:val="00897962"/>
    <w:rsid w:val="00897E9D"/>
    <w:rsid w:val="008A0031"/>
    <w:rsid w:val="008A027A"/>
    <w:rsid w:val="008A0286"/>
    <w:rsid w:val="008A0EB0"/>
    <w:rsid w:val="008A154D"/>
    <w:rsid w:val="008A1B66"/>
    <w:rsid w:val="008A1D16"/>
    <w:rsid w:val="008A2318"/>
    <w:rsid w:val="008A2640"/>
    <w:rsid w:val="008A2B04"/>
    <w:rsid w:val="008A3E05"/>
    <w:rsid w:val="008A3E2C"/>
    <w:rsid w:val="008A443B"/>
    <w:rsid w:val="008A4527"/>
    <w:rsid w:val="008A465C"/>
    <w:rsid w:val="008A52C5"/>
    <w:rsid w:val="008A5373"/>
    <w:rsid w:val="008A5408"/>
    <w:rsid w:val="008A55AA"/>
    <w:rsid w:val="008A57D0"/>
    <w:rsid w:val="008A5C11"/>
    <w:rsid w:val="008A67E3"/>
    <w:rsid w:val="008A6CDD"/>
    <w:rsid w:val="008A6DC9"/>
    <w:rsid w:val="008A722F"/>
    <w:rsid w:val="008A7AE2"/>
    <w:rsid w:val="008A7B9E"/>
    <w:rsid w:val="008A7DC3"/>
    <w:rsid w:val="008B05D1"/>
    <w:rsid w:val="008B11F5"/>
    <w:rsid w:val="008B1628"/>
    <w:rsid w:val="008B1697"/>
    <w:rsid w:val="008B1AF9"/>
    <w:rsid w:val="008B2406"/>
    <w:rsid w:val="008B2D2F"/>
    <w:rsid w:val="008B2E66"/>
    <w:rsid w:val="008B3624"/>
    <w:rsid w:val="008B37D4"/>
    <w:rsid w:val="008B3CFD"/>
    <w:rsid w:val="008B41A4"/>
    <w:rsid w:val="008B4467"/>
    <w:rsid w:val="008B4731"/>
    <w:rsid w:val="008B563B"/>
    <w:rsid w:val="008B5A36"/>
    <w:rsid w:val="008B5AAB"/>
    <w:rsid w:val="008B6D74"/>
    <w:rsid w:val="008B7251"/>
    <w:rsid w:val="008B7812"/>
    <w:rsid w:val="008B7A93"/>
    <w:rsid w:val="008B7B38"/>
    <w:rsid w:val="008C046E"/>
    <w:rsid w:val="008C0916"/>
    <w:rsid w:val="008C16C9"/>
    <w:rsid w:val="008C18A2"/>
    <w:rsid w:val="008C1AEF"/>
    <w:rsid w:val="008C2981"/>
    <w:rsid w:val="008C2D8C"/>
    <w:rsid w:val="008C3DA0"/>
    <w:rsid w:val="008C447D"/>
    <w:rsid w:val="008C4E93"/>
    <w:rsid w:val="008C5B8E"/>
    <w:rsid w:val="008C5CA5"/>
    <w:rsid w:val="008C5E59"/>
    <w:rsid w:val="008C603B"/>
    <w:rsid w:val="008C625C"/>
    <w:rsid w:val="008C64E2"/>
    <w:rsid w:val="008C669E"/>
    <w:rsid w:val="008C702D"/>
    <w:rsid w:val="008C72D7"/>
    <w:rsid w:val="008C7778"/>
    <w:rsid w:val="008C7BDA"/>
    <w:rsid w:val="008D014F"/>
    <w:rsid w:val="008D0ADF"/>
    <w:rsid w:val="008D1A92"/>
    <w:rsid w:val="008D1C0D"/>
    <w:rsid w:val="008D2724"/>
    <w:rsid w:val="008D37DD"/>
    <w:rsid w:val="008D3F4C"/>
    <w:rsid w:val="008D3FA2"/>
    <w:rsid w:val="008D400F"/>
    <w:rsid w:val="008D4250"/>
    <w:rsid w:val="008D4668"/>
    <w:rsid w:val="008D488C"/>
    <w:rsid w:val="008D49A1"/>
    <w:rsid w:val="008D5F48"/>
    <w:rsid w:val="008D5F91"/>
    <w:rsid w:val="008D6B3F"/>
    <w:rsid w:val="008D6C88"/>
    <w:rsid w:val="008D73F5"/>
    <w:rsid w:val="008E0550"/>
    <w:rsid w:val="008E08E1"/>
    <w:rsid w:val="008E1936"/>
    <w:rsid w:val="008E1A30"/>
    <w:rsid w:val="008E2E74"/>
    <w:rsid w:val="008E3081"/>
    <w:rsid w:val="008E37F3"/>
    <w:rsid w:val="008E38ED"/>
    <w:rsid w:val="008E4AAC"/>
    <w:rsid w:val="008E575E"/>
    <w:rsid w:val="008E57C1"/>
    <w:rsid w:val="008E7302"/>
    <w:rsid w:val="008E7688"/>
    <w:rsid w:val="008E775E"/>
    <w:rsid w:val="008E7E6A"/>
    <w:rsid w:val="008F140F"/>
    <w:rsid w:val="008F1AA0"/>
    <w:rsid w:val="008F1DF3"/>
    <w:rsid w:val="008F2823"/>
    <w:rsid w:val="008F2A4B"/>
    <w:rsid w:val="008F2B90"/>
    <w:rsid w:val="008F2FB5"/>
    <w:rsid w:val="008F31EA"/>
    <w:rsid w:val="008F3BF6"/>
    <w:rsid w:val="008F45A8"/>
    <w:rsid w:val="008F4CAD"/>
    <w:rsid w:val="008F504F"/>
    <w:rsid w:val="008F52BE"/>
    <w:rsid w:val="008F5434"/>
    <w:rsid w:val="008F54CA"/>
    <w:rsid w:val="008F54CB"/>
    <w:rsid w:val="008F5AB7"/>
    <w:rsid w:val="008F6830"/>
    <w:rsid w:val="008F6F0F"/>
    <w:rsid w:val="008F7BC2"/>
    <w:rsid w:val="008F7BF7"/>
    <w:rsid w:val="008F7DFC"/>
    <w:rsid w:val="009000F7"/>
    <w:rsid w:val="0090012F"/>
    <w:rsid w:val="0090176B"/>
    <w:rsid w:val="00901D1A"/>
    <w:rsid w:val="00902030"/>
    <w:rsid w:val="0090223F"/>
    <w:rsid w:val="009028AF"/>
    <w:rsid w:val="00902F70"/>
    <w:rsid w:val="00903D72"/>
    <w:rsid w:val="00903EE0"/>
    <w:rsid w:val="009042FA"/>
    <w:rsid w:val="00904353"/>
    <w:rsid w:val="00904459"/>
    <w:rsid w:val="00904A4A"/>
    <w:rsid w:val="00904A4E"/>
    <w:rsid w:val="00905178"/>
    <w:rsid w:val="0090523E"/>
    <w:rsid w:val="00905A04"/>
    <w:rsid w:val="00905DF4"/>
    <w:rsid w:val="0090699C"/>
    <w:rsid w:val="00906A2B"/>
    <w:rsid w:val="00906D92"/>
    <w:rsid w:val="009070F5"/>
    <w:rsid w:val="009072FF"/>
    <w:rsid w:val="009073AB"/>
    <w:rsid w:val="009077CE"/>
    <w:rsid w:val="00907DDB"/>
    <w:rsid w:val="00911294"/>
    <w:rsid w:val="009113A2"/>
    <w:rsid w:val="00911458"/>
    <w:rsid w:val="009115BF"/>
    <w:rsid w:val="009121FD"/>
    <w:rsid w:val="00912DBA"/>
    <w:rsid w:val="0091327A"/>
    <w:rsid w:val="00914444"/>
    <w:rsid w:val="009145EF"/>
    <w:rsid w:val="00914ED6"/>
    <w:rsid w:val="00915269"/>
    <w:rsid w:val="0091591B"/>
    <w:rsid w:val="00915B17"/>
    <w:rsid w:val="00916478"/>
    <w:rsid w:val="00916573"/>
    <w:rsid w:val="00916639"/>
    <w:rsid w:val="00917788"/>
    <w:rsid w:val="00920FB8"/>
    <w:rsid w:val="0092182F"/>
    <w:rsid w:val="00921B73"/>
    <w:rsid w:val="00921FF3"/>
    <w:rsid w:val="00922494"/>
    <w:rsid w:val="00922DB8"/>
    <w:rsid w:val="0092327D"/>
    <w:rsid w:val="00923D44"/>
    <w:rsid w:val="0092419F"/>
    <w:rsid w:val="00924E4F"/>
    <w:rsid w:val="00924F86"/>
    <w:rsid w:val="00925059"/>
    <w:rsid w:val="009251BA"/>
    <w:rsid w:val="009256ED"/>
    <w:rsid w:val="00925B32"/>
    <w:rsid w:val="00925DA8"/>
    <w:rsid w:val="00926191"/>
    <w:rsid w:val="0092649E"/>
    <w:rsid w:val="00926713"/>
    <w:rsid w:val="00926DC8"/>
    <w:rsid w:val="00927FA7"/>
    <w:rsid w:val="00930A22"/>
    <w:rsid w:val="00930C8E"/>
    <w:rsid w:val="00930E98"/>
    <w:rsid w:val="00930EED"/>
    <w:rsid w:val="00930EF0"/>
    <w:rsid w:val="0093107D"/>
    <w:rsid w:val="0093241B"/>
    <w:rsid w:val="00932760"/>
    <w:rsid w:val="009337B9"/>
    <w:rsid w:val="00933CB8"/>
    <w:rsid w:val="00934528"/>
    <w:rsid w:val="00934746"/>
    <w:rsid w:val="009347F1"/>
    <w:rsid w:val="009349F7"/>
    <w:rsid w:val="00934E7A"/>
    <w:rsid w:val="00934EDD"/>
    <w:rsid w:val="00935143"/>
    <w:rsid w:val="00936A1C"/>
    <w:rsid w:val="00937218"/>
    <w:rsid w:val="009373D3"/>
    <w:rsid w:val="00937676"/>
    <w:rsid w:val="00937DE5"/>
    <w:rsid w:val="00937F4D"/>
    <w:rsid w:val="009402CE"/>
    <w:rsid w:val="00940728"/>
    <w:rsid w:val="009412A6"/>
    <w:rsid w:val="009413FD"/>
    <w:rsid w:val="0094256A"/>
    <w:rsid w:val="009427DA"/>
    <w:rsid w:val="009429A3"/>
    <w:rsid w:val="00942A97"/>
    <w:rsid w:val="00942F2A"/>
    <w:rsid w:val="00943077"/>
    <w:rsid w:val="00943CE2"/>
    <w:rsid w:val="009445D3"/>
    <w:rsid w:val="00944D47"/>
    <w:rsid w:val="00945D42"/>
    <w:rsid w:val="00945DED"/>
    <w:rsid w:val="00946535"/>
    <w:rsid w:val="0094755D"/>
    <w:rsid w:val="00947873"/>
    <w:rsid w:val="0095097C"/>
    <w:rsid w:val="00952CE5"/>
    <w:rsid w:val="00953069"/>
    <w:rsid w:val="0095378F"/>
    <w:rsid w:val="00953BA0"/>
    <w:rsid w:val="0095592C"/>
    <w:rsid w:val="00955BE7"/>
    <w:rsid w:val="0095676B"/>
    <w:rsid w:val="0095736A"/>
    <w:rsid w:val="00957926"/>
    <w:rsid w:val="00957D7D"/>
    <w:rsid w:val="00957E2B"/>
    <w:rsid w:val="00960A4D"/>
    <w:rsid w:val="009612D1"/>
    <w:rsid w:val="0096199F"/>
    <w:rsid w:val="009620C0"/>
    <w:rsid w:val="009624EC"/>
    <w:rsid w:val="009629BA"/>
    <w:rsid w:val="0096375B"/>
    <w:rsid w:val="00963E57"/>
    <w:rsid w:val="0096414B"/>
    <w:rsid w:val="009646F0"/>
    <w:rsid w:val="00964C36"/>
    <w:rsid w:val="00965056"/>
    <w:rsid w:val="0096581C"/>
    <w:rsid w:val="00965C2A"/>
    <w:rsid w:val="009665E0"/>
    <w:rsid w:val="0096775C"/>
    <w:rsid w:val="00967837"/>
    <w:rsid w:val="00967869"/>
    <w:rsid w:val="00970837"/>
    <w:rsid w:val="00970B13"/>
    <w:rsid w:val="00970C36"/>
    <w:rsid w:val="00971670"/>
    <w:rsid w:val="009722A1"/>
    <w:rsid w:val="0097259E"/>
    <w:rsid w:val="00973504"/>
    <w:rsid w:val="00974CFB"/>
    <w:rsid w:val="0097561E"/>
    <w:rsid w:val="00975693"/>
    <w:rsid w:val="009757DF"/>
    <w:rsid w:val="00975E9D"/>
    <w:rsid w:val="009764AD"/>
    <w:rsid w:val="009768CC"/>
    <w:rsid w:val="00976EFA"/>
    <w:rsid w:val="0097717E"/>
    <w:rsid w:val="009772FF"/>
    <w:rsid w:val="009774C5"/>
    <w:rsid w:val="009775A4"/>
    <w:rsid w:val="00977D70"/>
    <w:rsid w:val="0098133F"/>
    <w:rsid w:val="00981B5D"/>
    <w:rsid w:val="00981C0F"/>
    <w:rsid w:val="00981C84"/>
    <w:rsid w:val="009824BF"/>
    <w:rsid w:val="00982920"/>
    <w:rsid w:val="00983B77"/>
    <w:rsid w:val="00984403"/>
    <w:rsid w:val="009846A4"/>
    <w:rsid w:val="00985045"/>
    <w:rsid w:val="00986A01"/>
    <w:rsid w:val="00986FA8"/>
    <w:rsid w:val="00987885"/>
    <w:rsid w:val="00987995"/>
    <w:rsid w:val="00987FD7"/>
    <w:rsid w:val="00990067"/>
    <w:rsid w:val="009900E6"/>
    <w:rsid w:val="00990211"/>
    <w:rsid w:val="00990714"/>
    <w:rsid w:val="009914DD"/>
    <w:rsid w:val="009921D0"/>
    <w:rsid w:val="009921F4"/>
    <w:rsid w:val="009927C5"/>
    <w:rsid w:val="009929B8"/>
    <w:rsid w:val="00993667"/>
    <w:rsid w:val="00993A32"/>
    <w:rsid w:val="00993CD3"/>
    <w:rsid w:val="00994541"/>
    <w:rsid w:val="00994843"/>
    <w:rsid w:val="00995D88"/>
    <w:rsid w:val="009960C2"/>
    <w:rsid w:val="0099615D"/>
    <w:rsid w:val="00996266"/>
    <w:rsid w:val="00996F7E"/>
    <w:rsid w:val="00997D46"/>
    <w:rsid w:val="009A06E2"/>
    <w:rsid w:val="009A0F96"/>
    <w:rsid w:val="009A1190"/>
    <w:rsid w:val="009A1257"/>
    <w:rsid w:val="009A17AC"/>
    <w:rsid w:val="009A1A01"/>
    <w:rsid w:val="009A1E84"/>
    <w:rsid w:val="009A1F38"/>
    <w:rsid w:val="009A2671"/>
    <w:rsid w:val="009A2819"/>
    <w:rsid w:val="009A28E6"/>
    <w:rsid w:val="009A2C8D"/>
    <w:rsid w:val="009A330B"/>
    <w:rsid w:val="009A3382"/>
    <w:rsid w:val="009A3E68"/>
    <w:rsid w:val="009A3F05"/>
    <w:rsid w:val="009A4130"/>
    <w:rsid w:val="009A4834"/>
    <w:rsid w:val="009A49EB"/>
    <w:rsid w:val="009A55DD"/>
    <w:rsid w:val="009A5856"/>
    <w:rsid w:val="009A5980"/>
    <w:rsid w:val="009A5C32"/>
    <w:rsid w:val="009A5D04"/>
    <w:rsid w:val="009A63A6"/>
    <w:rsid w:val="009A6646"/>
    <w:rsid w:val="009A66CE"/>
    <w:rsid w:val="009A672D"/>
    <w:rsid w:val="009A67A5"/>
    <w:rsid w:val="009A6F4D"/>
    <w:rsid w:val="009A7140"/>
    <w:rsid w:val="009A767E"/>
    <w:rsid w:val="009A7D5C"/>
    <w:rsid w:val="009A7E2C"/>
    <w:rsid w:val="009A7F80"/>
    <w:rsid w:val="009B07B2"/>
    <w:rsid w:val="009B0A69"/>
    <w:rsid w:val="009B0DCC"/>
    <w:rsid w:val="009B114C"/>
    <w:rsid w:val="009B2622"/>
    <w:rsid w:val="009B3357"/>
    <w:rsid w:val="009B3558"/>
    <w:rsid w:val="009B3C0B"/>
    <w:rsid w:val="009B3D63"/>
    <w:rsid w:val="009B4219"/>
    <w:rsid w:val="009B4920"/>
    <w:rsid w:val="009B494F"/>
    <w:rsid w:val="009B4BF4"/>
    <w:rsid w:val="009B5427"/>
    <w:rsid w:val="009B5458"/>
    <w:rsid w:val="009B5C9B"/>
    <w:rsid w:val="009B5DAF"/>
    <w:rsid w:val="009B5F3D"/>
    <w:rsid w:val="009B600A"/>
    <w:rsid w:val="009B690E"/>
    <w:rsid w:val="009B7C0C"/>
    <w:rsid w:val="009B7DC9"/>
    <w:rsid w:val="009C0181"/>
    <w:rsid w:val="009C0A3C"/>
    <w:rsid w:val="009C10FA"/>
    <w:rsid w:val="009C157B"/>
    <w:rsid w:val="009C162A"/>
    <w:rsid w:val="009C19BD"/>
    <w:rsid w:val="009C1EDE"/>
    <w:rsid w:val="009C22AA"/>
    <w:rsid w:val="009C285B"/>
    <w:rsid w:val="009C2F03"/>
    <w:rsid w:val="009C3447"/>
    <w:rsid w:val="009C3F5A"/>
    <w:rsid w:val="009C43C6"/>
    <w:rsid w:val="009C4B96"/>
    <w:rsid w:val="009C5659"/>
    <w:rsid w:val="009C565A"/>
    <w:rsid w:val="009C59B3"/>
    <w:rsid w:val="009C5C0B"/>
    <w:rsid w:val="009C60AE"/>
    <w:rsid w:val="009C6B35"/>
    <w:rsid w:val="009C6D61"/>
    <w:rsid w:val="009C6F0E"/>
    <w:rsid w:val="009C7273"/>
    <w:rsid w:val="009C7361"/>
    <w:rsid w:val="009C7372"/>
    <w:rsid w:val="009C758F"/>
    <w:rsid w:val="009C76F9"/>
    <w:rsid w:val="009D0155"/>
    <w:rsid w:val="009D0190"/>
    <w:rsid w:val="009D181A"/>
    <w:rsid w:val="009D1A5E"/>
    <w:rsid w:val="009D1B08"/>
    <w:rsid w:val="009D1CD2"/>
    <w:rsid w:val="009D2965"/>
    <w:rsid w:val="009D29DB"/>
    <w:rsid w:val="009D2AE3"/>
    <w:rsid w:val="009D30E3"/>
    <w:rsid w:val="009D3163"/>
    <w:rsid w:val="009D3557"/>
    <w:rsid w:val="009D375D"/>
    <w:rsid w:val="009D394E"/>
    <w:rsid w:val="009D3D79"/>
    <w:rsid w:val="009D4246"/>
    <w:rsid w:val="009D44C9"/>
    <w:rsid w:val="009D5489"/>
    <w:rsid w:val="009D5B10"/>
    <w:rsid w:val="009D689F"/>
    <w:rsid w:val="009D7003"/>
    <w:rsid w:val="009D7731"/>
    <w:rsid w:val="009D7DCE"/>
    <w:rsid w:val="009D7E1B"/>
    <w:rsid w:val="009E0305"/>
    <w:rsid w:val="009E0517"/>
    <w:rsid w:val="009E07EB"/>
    <w:rsid w:val="009E0813"/>
    <w:rsid w:val="009E1636"/>
    <w:rsid w:val="009E1688"/>
    <w:rsid w:val="009E1E12"/>
    <w:rsid w:val="009E25DF"/>
    <w:rsid w:val="009E25E5"/>
    <w:rsid w:val="009E32DF"/>
    <w:rsid w:val="009E4308"/>
    <w:rsid w:val="009E4971"/>
    <w:rsid w:val="009E4BFC"/>
    <w:rsid w:val="009E4E15"/>
    <w:rsid w:val="009E516E"/>
    <w:rsid w:val="009E5BFF"/>
    <w:rsid w:val="009E6E7B"/>
    <w:rsid w:val="009E7187"/>
    <w:rsid w:val="009F01AD"/>
    <w:rsid w:val="009F0D0E"/>
    <w:rsid w:val="009F256F"/>
    <w:rsid w:val="009F2657"/>
    <w:rsid w:val="009F26F7"/>
    <w:rsid w:val="009F2DB7"/>
    <w:rsid w:val="009F3558"/>
    <w:rsid w:val="009F37DD"/>
    <w:rsid w:val="009F47B1"/>
    <w:rsid w:val="009F481F"/>
    <w:rsid w:val="009F49AA"/>
    <w:rsid w:val="009F4E24"/>
    <w:rsid w:val="009F58A3"/>
    <w:rsid w:val="009F5C08"/>
    <w:rsid w:val="009F66BC"/>
    <w:rsid w:val="009F730D"/>
    <w:rsid w:val="009F798E"/>
    <w:rsid w:val="009F7996"/>
    <w:rsid w:val="00A004E0"/>
    <w:rsid w:val="00A01BDA"/>
    <w:rsid w:val="00A01F16"/>
    <w:rsid w:val="00A02620"/>
    <w:rsid w:val="00A02D9C"/>
    <w:rsid w:val="00A02E07"/>
    <w:rsid w:val="00A039F4"/>
    <w:rsid w:val="00A03BC4"/>
    <w:rsid w:val="00A03F3B"/>
    <w:rsid w:val="00A04010"/>
    <w:rsid w:val="00A041AF"/>
    <w:rsid w:val="00A0452F"/>
    <w:rsid w:val="00A04ADC"/>
    <w:rsid w:val="00A04B32"/>
    <w:rsid w:val="00A04B41"/>
    <w:rsid w:val="00A05277"/>
    <w:rsid w:val="00A06348"/>
    <w:rsid w:val="00A06CAC"/>
    <w:rsid w:val="00A078CE"/>
    <w:rsid w:val="00A10C5F"/>
    <w:rsid w:val="00A11317"/>
    <w:rsid w:val="00A11646"/>
    <w:rsid w:val="00A11B64"/>
    <w:rsid w:val="00A11D77"/>
    <w:rsid w:val="00A13417"/>
    <w:rsid w:val="00A13DE1"/>
    <w:rsid w:val="00A13EE9"/>
    <w:rsid w:val="00A1409F"/>
    <w:rsid w:val="00A14E5B"/>
    <w:rsid w:val="00A16561"/>
    <w:rsid w:val="00A16EE3"/>
    <w:rsid w:val="00A17EA8"/>
    <w:rsid w:val="00A20525"/>
    <w:rsid w:val="00A20F1E"/>
    <w:rsid w:val="00A213AE"/>
    <w:rsid w:val="00A21A1E"/>
    <w:rsid w:val="00A22F29"/>
    <w:rsid w:val="00A22F49"/>
    <w:rsid w:val="00A23418"/>
    <w:rsid w:val="00A23687"/>
    <w:rsid w:val="00A24E00"/>
    <w:rsid w:val="00A25055"/>
    <w:rsid w:val="00A25321"/>
    <w:rsid w:val="00A258FD"/>
    <w:rsid w:val="00A262EA"/>
    <w:rsid w:val="00A274A7"/>
    <w:rsid w:val="00A2784E"/>
    <w:rsid w:val="00A27B06"/>
    <w:rsid w:val="00A27B07"/>
    <w:rsid w:val="00A30226"/>
    <w:rsid w:val="00A307C3"/>
    <w:rsid w:val="00A30822"/>
    <w:rsid w:val="00A30948"/>
    <w:rsid w:val="00A312C1"/>
    <w:rsid w:val="00A3132E"/>
    <w:rsid w:val="00A318F9"/>
    <w:rsid w:val="00A319BF"/>
    <w:rsid w:val="00A31A5F"/>
    <w:rsid w:val="00A31C2F"/>
    <w:rsid w:val="00A337B5"/>
    <w:rsid w:val="00A339E5"/>
    <w:rsid w:val="00A3433D"/>
    <w:rsid w:val="00A344E9"/>
    <w:rsid w:val="00A34762"/>
    <w:rsid w:val="00A34AE7"/>
    <w:rsid w:val="00A35959"/>
    <w:rsid w:val="00A360E3"/>
    <w:rsid w:val="00A365EB"/>
    <w:rsid w:val="00A368AD"/>
    <w:rsid w:val="00A36F14"/>
    <w:rsid w:val="00A37E6A"/>
    <w:rsid w:val="00A40446"/>
    <w:rsid w:val="00A411E2"/>
    <w:rsid w:val="00A41C17"/>
    <w:rsid w:val="00A420D9"/>
    <w:rsid w:val="00A4279B"/>
    <w:rsid w:val="00A42A0A"/>
    <w:rsid w:val="00A42D36"/>
    <w:rsid w:val="00A42E9D"/>
    <w:rsid w:val="00A434AB"/>
    <w:rsid w:val="00A44970"/>
    <w:rsid w:val="00A44BA2"/>
    <w:rsid w:val="00A45D49"/>
    <w:rsid w:val="00A47E81"/>
    <w:rsid w:val="00A5010D"/>
    <w:rsid w:val="00A5156B"/>
    <w:rsid w:val="00A51AA0"/>
    <w:rsid w:val="00A51B26"/>
    <w:rsid w:val="00A51FAB"/>
    <w:rsid w:val="00A52090"/>
    <w:rsid w:val="00A52725"/>
    <w:rsid w:val="00A52B67"/>
    <w:rsid w:val="00A52C16"/>
    <w:rsid w:val="00A52C3C"/>
    <w:rsid w:val="00A52D3F"/>
    <w:rsid w:val="00A53008"/>
    <w:rsid w:val="00A5372B"/>
    <w:rsid w:val="00A53E8A"/>
    <w:rsid w:val="00A5452C"/>
    <w:rsid w:val="00A549B4"/>
    <w:rsid w:val="00A56900"/>
    <w:rsid w:val="00A57213"/>
    <w:rsid w:val="00A57360"/>
    <w:rsid w:val="00A5776D"/>
    <w:rsid w:val="00A57DD2"/>
    <w:rsid w:val="00A606CC"/>
    <w:rsid w:val="00A60C76"/>
    <w:rsid w:val="00A6163F"/>
    <w:rsid w:val="00A61CD7"/>
    <w:rsid w:val="00A62178"/>
    <w:rsid w:val="00A630C2"/>
    <w:rsid w:val="00A64172"/>
    <w:rsid w:val="00A65988"/>
    <w:rsid w:val="00A659E8"/>
    <w:rsid w:val="00A65D03"/>
    <w:rsid w:val="00A65DB5"/>
    <w:rsid w:val="00A66E6C"/>
    <w:rsid w:val="00A671B9"/>
    <w:rsid w:val="00A673FD"/>
    <w:rsid w:val="00A6777B"/>
    <w:rsid w:val="00A67841"/>
    <w:rsid w:val="00A67B08"/>
    <w:rsid w:val="00A705D4"/>
    <w:rsid w:val="00A70953"/>
    <w:rsid w:val="00A72044"/>
    <w:rsid w:val="00A72C82"/>
    <w:rsid w:val="00A72D7E"/>
    <w:rsid w:val="00A72E4E"/>
    <w:rsid w:val="00A7309D"/>
    <w:rsid w:val="00A74207"/>
    <w:rsid w:val="00A746F1"/>
    <w:rsid w:val="00A74773"/>
    <w:rsid w:val="00A749AA"/>
    <w:rsid w:val="00A74A27"/>
    <w:rsid w:val="00A75475"/>
    <w:rsid w:val="00A75B4E"/>
    <w:rsid w:val="00A75C68"/>
    <w:rsid w:val="00A75FE9"/>
    <w:rsid w:val="00A760A1"/>
    <w:rsid w:val="00A760AC"/>
    <w:rsid w:val="00A765EE"/>
    <w:rsid w:val="00A7770F"/>
    <w:rsid w:val="00A80381"/>
    <w:rsid w:val="00A8040E"/>
    <w:rsid w:val="00A805DF"/>
    <w:rsid w:val="00A81807"/>
    <w:rsid w:val="00A818C1"/>
    <w:rsid w:val="00A8207B"/>
    <w:rsid w:val="00A82C1B"/>
    <w:rsid w:val="00A83392"/>
    <w:rsid w:val="00A83C0C"/>
    <w:rsid w:val="00A846BE"/>
    <w:rsid w:val="00A84CD5"/>
    <w:rsid w:val="00A84F91"/>
    <w:rsid w:val="00A855EB"/>
    <w:rsid w:val="00A85904"/>
    <w:rsid w:val="00A85A44"/>
    <w:rsid w:val="00A87D1F"/>
    <w:rsid w:val="00A87D6C"/>
    <w:rsid w:val="00A87DCF"/>
    <w:rsid w:val="00A90898"/>
    <w:rsid w:val="00A92CCC"/>
    <w:rsid w:val="00A92E01"/>
    <w:rsid w:val="00A93849"/>
    <w:rsid w:val="00A93903"/>
    <w:rsid w:val="00A94AAA"/>
    <w:rsid w:val="00A94CF0"/>
    <w:rsid w:val="00A94E34"/>
    <w:rsid w:val="00A9540B"/>
    <w:rsid w:val="00A954F4"/>
    <w:rsid w:val="00A957A5"/>
    <w:rsid w:val="00A9627C"/>
    <w:rsid w:val="00A966EB"/>
    <w:rsid w:val="00A96AF3"/>
    <w:rsid w:val="00A96E5A"/>
    <w:rsid w:val="00A971AB"/>
    <w:rsid w:val="00AA03A0"/>
    <w:rsid w:val="00AA0D9B"/>
    <w:rsid w:val="00AA105D"/>
    <w:rsid w:val="00AA1C16"/>
    <w:rsid w:val="00AA4295"/>
    <w:rsid w:val="00AA47B6"/>
    <w:rsid w:val="00AA5232"/>
    <w:rsid w:val="00AA54A5"/>
    <w:rsid w:val="00AA576E"/>
    <w:rsid w:val="00AA5AF8"/>
    <w:rsid w:val="00AA6332"/>
    <w:rsid w:val="00AA67FE"/>
    <w:rsid w:val="00AA6FBB"/>
    <w:rsid w:val="00AA7136"/>
    <w:rsid w:val="00AA71B5"/>
    <w:rsid w:val="00AA7428"/>
    <w:rsid w:val="00AA7A43"/>
    <w:rsid w:val="00AB0867"/>
    <w:rsid w:val="00AB0BBE"/>
    <w:rsid w:val="00AB15C3"/>
    <w:rsid w:val="00AB1C47"/>
    <w:rsid w:val="00AB2CC9"/>
    <w:rsid w:val="00AB37C0"/>
    <w:rsid w:val="00AB3916"/>
    <w:rsid w:val="00AB39A8"/>
    <w:rsid w:val="00AB3AAD"/>
    <w:rsid w:val="00AB45DB"/>
    <w:rsid w:val="00AB5254"/>
    <w:rsid w:val="00AB54EA"/>
    <w:rsid w:val="00AB5911"/>
    <w:rsid w:val="00AB661E"/>
    <w:rsid w:val="00AB6972"/>
    <w:rsid w:val="00AB6BC4"/>
    <w:rsid w:val="00AB6E87"/>
    <w:rsid w:val="00AB700E"/>
    <w:rsid w:val="00AB7547"/>
    <w:rsid w:val="00AB757A"/>
    <w:rsid w:val="00AB7C4B"/>
    <w:rsid w:val="00AC0020"/>
    <w:rsid w:val="00AC0251"/>
    <w:rsid w:val="00AC12FF"/>
    <w:rsid w:val="00AC1361"/>
    <w:rsid w:val="00AC140D"/>
    <w:rsid w:val="00AC1A9B"/>
    <w:rsid w:val="00AC1FD7"/>
    <w:rsid w:val="00AC2DEF"/>
    <w:rsid w:val="00AC2EA4"/>
    <w:rsid w:val="00AC3454"/>
    <w:rsid w:val="00AC3549"/>
    <w:rsid w:val="00AC399A"/>
    <w:rsid w:val="00AC5773"/>
    <w:rsid w:val="00AC58A7"/>
    <w:rsid w:val="00AC5E65"/>
    <w:rsid w:val="00AC621A"/>
    <w:rsid w:val="00AC6329"/>
    <w:rsid w:val="00AC6544"/>
    <w:rsid w:val="00AC7109"/>
    <w:rsid w:val="00AC7613"/>
    <w:rsid w:val="00AC7DA2"/>
    <w:rsid w:val="00AC7EC4"/>
    <w:rsid w:val="00AD0DA6"/>
    <w:rsid w:val="00AD1415"/>
    <w:rsid w:val="00AD17F0"/>
    <w:rsid w:val="00AD17F1"/>
    <w:rsid w:val="00AD2143"/>
    <w:rsid w:val="00AD21F7"/>
    <w:rsid w:val="00AD23DE"/>
    <w:rsid w:val="00AD2A16"/>
    <w:rsid w:val="00AD3181"/>
    <w:rsid w:val="00AD36A8"/>
    <w:rsid w:val="00AD36DF"/>
    <w:rsid w:val="00AD376D"/>
    <w:rsid w:val="00AD3A86"/>
    <w:rsid w:val="00AD3DD3"/>
    <w:rsid w:val="00AD435F"/>
    <w:rsid w:val="00AD49BB"/>
    <w:rsid w:val="00AD4D95"/>
    <w:rsid w:val="00AD53C1"/>
    <w:rsid w:val="00AD55D0"/>
    <w:rsid w:val="00AD5616"/>
    <w:rsid w:val="00AD5D17"/>
    <w:rsid w:val="00AD696A"/>
    <w:rsid w:val="00AD7186"/>
    <w:rsid w:val="00AD7503"/>
    <w:rsid w:val="00AD7DD5"/>
    <w:rsid w:val="00AE0BFB"/>
    <w:rsid w:val="00AE0D46"/>
    <w:rsid w:val="00AE0F54"/>
    <w:rsid w:val="00AE1E60"/>
    <w:rsid w:val="00AE1F27"/>
    <w:rsid w:val="00AE246F"/>
    <w:rsid w:val="00AE24C8"/>
    <w:rsid w:val="00AE2FB2"/>
    <w:rsid w:val="00AE34B0"/>
    <w:rsid w:val="00AE3CAB"/>
    <w:rsid w:val="00AE4F26"/>
    <w:rsid w:val="00AE52CD"/>
    <w:rsid w:val="00AE54E9"/>
    <w:rsid w:val="00AE6BB8"/>
    <w:rsid w:val="00AE6C4F"/>
    <w:rsid w:val="00AE725E"/>
    <w:rsid w:val="00AF0DE7"/>
    <w:rsid w:val="00AF1E56"/>
    <w:rsid w:val="00AF1FF7"/>
    <w:rsid w:val="00AF2480"/>
    <w:rsid w:val="00AF2517"/>
    <w:rsid w:val="00AF31CE"/>
    <w:rsid w:val="00AF4A0D"/>
    <w:rsid w:val="00AF4D97"/>
    <w:rsid w:val="00AF4ECC"/>
    <w:rsid w:val="00AF51C8"/>
    <w:rsid w:val="00AF5B5A"/>
    <w:rsid w:val="00AF5BB3"/>
    <w:rsid w:val="00AF678C"/>
    <w:rsid w:val="00AF6A0D"/>
    <w:rsid w:val="00AF6F2D"/>
    <w:rsid w:val="00AF7198"/>
    <w:rsid w:val="00AF7345"/>
    <w:rsid w:val="00B00240"/>
    <w:rsid w:val="00B00610"/>
    <w:rsid w:val="00B00DAA"/>
    <w:rsid w:val="00B01CAA"/>
    <w:rsid w:val="00B037D8"/>
    <w:rsid w:val="00B04B98"/>
    <w:rsid w:val="00B04F80"/>
    <w:rsid w:val="00B05F7F"/>
    <w:rsid w:val="00B06197"/>
    <w:rsid w:val="00B07693"/>
    <w:rsid w:val="00B07AD7"/>
    <w:rsid w:val="00B10497"/>
    <w:rsid w:val="00B109D5"/>
    <w:rsid w:val="00B1124B"/>
    <w:rsid w:val="00B116EC"/>
    <w:rsid w:val="00B11D53"/>
    <w:rsid w:val="00B142B9"/>
    <w:rsid w:val="00B1480F"/>
    <w:rsid w:val="00B14A10"/>
    <w:rsid w:val="00B14B04"/>
    <w:rsid w:val="00B15220"/>
    <w:rsid w:val="00B1535D"/>
    <w:rsid w:val="00B15573"/>
    <w:rsid w:val="00B16D7D"/>
    <w:rsid w:val="00B17075"/>
    <w:rsid w:val="00B17E1A"/>
    <w:rsid w:val="00B20A22"/>
    <w:rsid w:val="00B20AFD"/>
    <w:rsid w:val="00B2128E"/>
    <w:rsid w:val="00B21672"/>
    <w:rsid w:val="00B21DEB"/>
    <w:rsid w:val="00B2257F"/>
    <w:rsid w:val="00B2288E"/>
    <w:rsid w:val="00B230BD"/>
    <w:rsid w:val="00B2311E"/>
    <w:rsid w:val="00B2330D"/>
    <w:rsid w:val="00B233C3"/>
    <w:rsid w:val="00B235DF"/>
    <w:rsid w:val="00B23B1B"/>
    <w:rsid w:val="00B240ED"/>
    <w:rsid w:val="00B24A6B"/>
    <w:rsid w:val="00B25F9F"/>
    <w:rsid w:val="00B262A7"/>
    <w:rsid w:val="00B30A3C"/>
    <w:rsid w:val="00B316ED"/>
    <w:rsid w:val="00B32D2E"/>
    <w:rsid w:val="00B335AE"/>
    <w:rsid w:val="00B3375F"/>
    <w:rsid w:val="00B3495C"/>
    <w:rsid w:val="00B3576D"/>
    <w:rsid w:val="00B369CB"/>
    <w:rsid w:val="00B36FC3"/>
    <w:rsid w:val="00B37F18"/>
    <w:rsid w:val="00B4029E"/>
    <w:rsid w:val="00B40C5F"/>
    <w:rsid w:val="00B4179A"/>
    <w:rsid w:val="00B42D04"/>
    <w:rsid w:val="00B431D3"/>
    <w:rsid w:val="00B432C9"/>
    <w:rsid w:val="00B44F45"/>
    <w:rsid w:val="00B45895"/>
    <w:rsid w:val="00B45F93"/>
    <w:rsid w:val="00B46DCA"/>
    <w:rsid w:val="00B47055"/>
    <w:rsid w:val="00B47092"/>
    <w:rsid w:val="00B47168"/>
    <w:rsid w:val="00B4718C"/>
    <w:rsid w:val="00B51260"/>
    <w:rsid w:val="00B51491"/>
    <w:rsid w:val="00B51E6E"/>
    <w:rsid w:val="00B51EFC"/>
    <w:rsid w:val="00B52DB2"/>
    <w:rsid w:val="00B52F27"/>
    <w:rsid w:val="00B542DA"/>
    <w:rsid w:val="00B54BC5"/>
    <w:rsid w:val="00B54BEB"/>
    <w:rsid w:val="00B54E2D"/>
    <w:rsid w:val="00B54EF3"/>
    <w:rsid w:val="00B55319"/>
    <w:rsid w:val="00B55AD3"/>
    <w:rsid w:val="00B56251"/>
    <w:rsid w:val="00B56453"/>
    <w:rsid w:val="00B56DF9"/>
    <w:rsid w:val="00B576FF"/>
    <w:rsid w:val="00B5787B"/>
    <w:rsid w:val="00B57897"/>
    <w:rsid w:val="00B600EC"/>
    <w:rsid w:val="00B6045E"/>
    <w:rsid w:val="00B60483"/>
    <w:rsid w:val="00B60909"/>
    <w:rsid w:val="00B60E30"/>
    <w:rsid w:val="00B6120A"/>
    <w:rsid w:val="00B6122B"/>
    <w:rsid w:val="00B61E2C"/>
    <w:rsid w:val="00B624FC"/>
    <w:rsid w:val="00B63753"/>
    <w:rsid w:val="00B63FBB"/>
    <w:rsid w:val="00B64172"/>
    <w:rsid w:val="00B643A1"/>
    <w:rsid w:val="00B64490"/>
    <w:rsid w:val="00B64AAB"/>
    <w:rsid w:val="00B64D72"/>
    <w:rsid w:val="00B6634F"/>
    <w:rsid w:val="00B6665D"/>
    <w:rsid w:val="00B668E2"/>
    <w:rsid w:val="00B67E4A"/>
    <w:rsid w:val="00B71747"/>
    <w:rsid w:val="00B71BAD"/>
    <w:rsid w:val="00B72538"/>
    <w:rsid w:val="00B72819"/>
    <w:rsid w:val="00B72AC4"/>
    <w:rsid w:val="00B73004"/>
    <w:rsid w:val="00B73623"/>
    <w:rsid w:val="00B74D08"/>
    <w:rsid w:val="00B75544"/>
    <w:rsid w:val="00B75640"/>
    <w:rsid w:val="00B75FC1"/>
    <w:rsid w:val="00B7620C"/>
    <w:rsid w:val="00B76818"/>
    <w:rsid w:val="00B76963"/>
    <w:rsid w:val="00B77528"/>
    <w:rsid w:val="00B77597"/>
    <w:rsid w:val="00B77948"/>
    <w:rsid w:val="00B77B66"/>
    <w:rsid w:val="00B810B2"/>
    <w:rsid w:val="00B8264A"/>
    <w:rsid w:val="00B82AFD"/>
    <w:rsid w:val="00B8354B"/>
    <w:rsid w:val="00B83558"/>
    <w:rsid w:val="00B835AF"/>
    <w:rsid w:val="00B83DE0"/>
    <w:rsid w:val="00B83F2B"/>
    <w:rsid w:val="00B84A62"/>
    <w:rsid w:val="00B8528B"/>
    <w:rsid w:val="00B85829"/>
    <w:rsid w:val="00B85AF9"/>
    <w:rsid w:val="00B85F43"/>
    <w:rsid w:val="00B860CE"/>
    <w:rsid w:val="00B86BA5"/>
    <w:rsid w:val="00B86DA3"/>
    <w:rsid w:val="00B8703B"/>
    <w:rsid w:val="00B876A6"/>
    <w:rsid w:val="00B87D18"/>
    <w:rsid w:val="00B90AA9"/>
    <w:rsid w:val="00B91369"/>
    <w:rsid w:val="00B915FC"/>
    <w:rsid w:val="00B91E4F"/>
    <w:rsid w:val="00B92AAD"/>
    <w:rsid w:val="00B93579"/>
    <w:rsid w:val="00B93CC3"/>
    <w:rsid w:val="00B94136"/>
    <w:rsid w:val="00B947EC"/>
    <w:rsid w:val="00B94897"/>
    <w:rsid w:val="00B95D73"/>
    <w:rsid w:val="00B97E75"/>
    <w:rsid w:val="00BA0132"/>
    <w:rsid w:val="00BA05E6"/>
    <w:rsid w:val="00BA0788"/>
    <w:rsid w:val="00BA10B3"/>
    <w:rsid w:val="00BA2432"/>
    <w:rsid w:val="00BA26AD"/>
    <w:rsid w:val="00BA2864"/>
    <w:rsid w:val="00BA28CD"/>
    <w:rsid w:val="00BA32EB"/>
    <w:rsid w:val="00BA33D9"/>
    <w:rsid w:val="00BA3A24"/>
    <w:rsid w:val="00BA594E"/>
    <w:rsid w:val="00BA5B8F"/>
    <w:rsid w:val="00BA5BA4"/>
    <w:rsid w:val="00BA6463"/>
    <w:rsid w:val="00BA6651"/>
    <w:rsid w:val="00BA6AC3"/>
    <w:rsid w:val="00BA6E29"/>
    <w:rsid w:val="00BA7CCC"/>
    <w:rsid w:val="00BA7F5E"/>
    <w:rsid w:val="00BB0881"/>
    <w:rsid w:val="00BB089C"/>
    <w:rsid w:val="00BB0A71"/>
    <w:rsid w:val="00BB1295"/>
    <w:rsid w:val="00BB2254"/>
    <w:rsid w:val="00BB23C4"/>
    <w:rsid w:val="00BB24DB"/>
    <w:rsid w:val="00BB2E6C"/>
    <w:rsid w:val="00BB31C3"/>
    <w:rsid w:val="00BB37E5"/>
    <w:rsid w:val="00BB42AA"/>
    <w:rsid w:val="00BB47BE"/>
    <w:rsid w:val="00BB649C"/>
    <w:rsid w:val="00BB6F7E"/>
    <w:rsid w:val="00BB7836"/>
    <w:rsid w:val="00BC0B78"/>
    <w:rsid w:val="00BC12FD"/>
    <w:rsid w:val="00BC17E6"/>
    <w:rsid w:val="00BC2CF3"/>
    <w:rsid w:val="00BC3678"/>
    <w:rsid w:val="00BC377D"/>
    <w:rsid w:val="00BC3946"/>
    <w:rsid w:val="00BC480F"/>
    <w:rsid w:val="00BC4DE9"/>
    <w:rsid w:val="00BC52E2"/>
    <w:rsid w:val="00BC6309"/>
    <w:rsid w:val="00BC6E48"/>
    <w:rsid w:val="00BC6ED3"/>
    <w:rsid w:val="00BC709E"/>
    <w:rsid w:val="00BC757B"/>
    <w:rsid w:val="00BC79F6"/>
    <w:rsid w:val="00BD0019"/>
    <w:rsid w:val="00BD0271"/>
    <w:rsid w:val="00BD0963"/>
    <w:rsid w:val="00BD0B6F"/>
    <w:rsid w:val="00BD1FCB"/>
    <w:rsid w:val="00BD24D6"/>
    <w:rsid w:val="00BD3A43"/>
    <w:rsid w:val="00BD401B"/>
    <w:rsid w:val="00BD417D"/>
    <w:rsid w:val="00BD43AA"/>
    <w:rsid w:val="00BD5105"/>
    <w:rsid w:val="00BD5735"/>
    <w:rsid w:val="00BD5EEA"/>
    <w:rsid w:val="00BD62F5"/>
    <w:rsid w:val="00BD6D94"/>
    <w:rsid w:val="00BD703E"/>
    <w:rsid w:val="00BE0131"/>
    <w:rsid w:val="00BE067A"/>
    <w:rsid w:val="00BE0AE5"/>
    <w:rsid w:val="00BE1022"/>
    <w:rsid w:val="00BE109C"/>
    <w:rsid w:val="00BE1CDC"/>
    <w:rsid w:val="00BE2ADA"/>
    <w:rsid w:val="00BE3697"/>
    <w:rsid w:val="00BE3F6F"/>
    <w:rsid w:val="00BE419A"/>
    <w:rsid w:val="00BE4912"/>
    <w:rsid w:val="00BE513E"/>
    <w:rsid w:val="00BE5149"/>
    <w:rsid w:val="00BE5517"/>
    <w:rsid w:val="00BE5A66"/>
    <w:rsid w:val="00BE6105"/>
    <w:rsid w:val="00BE64C9"/>
    <w:rsid w:val="00BE69A2"/>
    <w:rsid w:val="00BE6C33"/>
    <w:rsid w:val="00BE73C0"/>
    <w:rsid w:val="00BE7BCF"/>
    <w:rsid w:val="00BF007C"/>
    <w:rsid w:val="00BF0174"/>
    <w:rsid w:val="00BF0DA8"/>
    <w:rsid w:val="00BF0FE4"/>
    <w:rsid w:val="00BF12C1"/>
    <w:rsid w:val="00BF191E"/>
    <w:rsid w:val="00BF286E"/>
    <w:rsid w:val="00BF343C"/>
    <w:rsid w:val="00BF3939"/>
    <w:rsid w:val="00BF3C60"/>
    <w:rsid w:val="00BF3C9B"/>
    <w:rsid w:val="00BF3E92"/>
    <w:rsid w:val="00BF4741"/>
    <w:rsid w:val="00BF4869"/>
    <w:rsid w:val="00BF4B40"/>
    <w:rsid w:val="00BF4BB7"/>
    <w:rsid w:val="00BF4BD1"/>
    <w:rsid w:val="00BF4C10"/>
    <w:rsid w:val="00BF508C"/>
    <w:rsid w:val="00BF560C"/>
    <w:rsid w:val="00BF5889"/>
    <w:rsid w:val="00BF7868"/>
    <w:rsid w:val="00BF7B8D"/>
    <w:rsid w:val="00BF7F61"/>
    <w:rsid w:val="00C0073E"/>
    <w:rsid w:val="00C00DCE"/>
    <w:rsid w:val="00C0131D"/>
    <w:rsid w:val="00C01817"/>
    <w:rsid w:val="00C02220"/>
    <w:rsid w:val="00C02B18"/>
    <w:rsid w:val="00C02C51"/>
    <w:rsid w:val="00C035D9"/>
    <w:rsid w:val="00C0402E"/>
    <w:rsid w:val="00C04130"/>
    <w:rsid w:val="00C041E8"/>
    <w:rsid w:val="00C042A2"/>
    <w:rsid w:val="00C049D6"/>
    <w:rsid w:val="00C04FB9"/>
    <w:rsid w:val="00C05169"/>
    <w:rsid w:val="00C05C2F"/>
    <w:rsid w:val="00C06940"/>
    <w:rsid w:val="00C07991"/>
    <w:rsid w:val="00C10234"/>
    <w:rsid w:val="00C10250"/>
    <w:rsid w:val="00C10911"/>
    <w:rsid w:val="00C1169A"/>
    <w:rsid w:val="00C11D63"/>
    <w:rsid w:val="00C11DA6"/>
    <w:rsid w:val="00C12418"/>
    <w:rsid w:val="00C12B23"/>
    <w:rsid w:val="00C12C0B"/>
    <w:rsid w:val="00C12E68"/>
    <w:rsid w:val="00C13CF1"/>
    <w:rsid w:val="00C1406B"/>
    <w:rsid w:val="00C14949"/>
    <w:rsid w:val="00C1575F"/>
    <w:rsid w:val="00C16357"/>
    <w:rsid w:val="00C165D7"/>
    <w:rsid w:val="00C1677D"/>
    <w:rsid w:val="00C16CEF"/>
    <w:rsid w:val="00C171F4"/>
    <w:rsid w:val="00C17E1C"/>
    <w:rsid w:val="00C203A1"/>
    <w:rsid w:val="00C20D39"/>
    <w:rsid w:val="00C21900"/>
    <w:rsid w:val="00C21F8C"/>
    <w:rsid w:val="00C22666"/>
    <w:rsid w:val="00C22993"/>
    <w:rsid w:val="00C22FDE"/>
    <w:rsid w:val="00C23427"/>
    <w:rsid w:val="00C23E3B"/>
    <w:rsid w:val="00C23E48"/>
    <w:rsid w:val="00C246D6"/>
    <w:rsid w:val="00C248EF"/>
    <w:rsid w:val="00C24D9E"/>
    <w:rsid w:val="00C24DE1"/>
    <w:rsid w:val="00C25C7D"/>
    <w:rsid w:val="00C25EF7"/>
    <w:rsid w:val="00C25F16"/>
    <w:rsid w:val="00C260B7"/>
    <w:rsid w:val="00C27801"/>
    <w:rsid w:val="00C27A01"/>
    <w:rsid w:val="00C27BFF"/>
    <w:rsid w:val="00C27D49"/>
    <w:rsid w:val="00C3032B"/>
    <w:rsid w:val="00C30CEC"/>
    <w:rsid w:val="00C3137C"/>
    <w:rsid w:val="00C31402"/>
    <w:rsid w:val="00C3179C"/>
    <w:rsid w:val="00C317EC"/>
    <w:rsid w:val="00C31DBA"/>
    <w:rsid w:val="00C32441"/>
    <w:rsid w:val="00C325B8"/>
    <w:rsid w:val="00C32763"/>
    <w:rsid w:val="00C32EEE"/>
    <w:rsid w:val="00C33634"/>
    <w:rsid w:val="00C33760"/>
    <w:rsid w:val="00C343C6"/>
    <w:rsid w:val="00C344BE"/>
    <w:rsid w:val="00C34EFE"/>
    <w:rsid w:val="00C358F6"/>
    <w:rsid w:val="00C35BF1"/>
    <w:rsid w:val="00C360A7"/>
    <w:rsid w:val="00C3658D"/>
    <w:rsid w:val="00C368E3"/>
    <w:rsid w:val="00C36C37"/>
    <w:rsid w:val="00C36E0C"/>
    <w:rsid w:val="00C36EEC"/>
    <w:rsid w:val="00C377B9"/>
    <w:rsid w:val="00C377D9"/>
    <w:rsid w:val="00C37DF0"/>
    <w:rsid w:val="00C4025B"/>
    <w:rsid w:val="00C4078E"/>
    <w:rsid w:val="00C411C6"/>
    <w:rsid w:val="00C41778"/>
    <w:rsid w:val="00C4184A"/>
    <w:rsid w:val="00C41AAA"/>
    <w:rsid w:val="00C41DCB"/>
    <w:rsid w:val="00C41DF5"/>
    <w:rsid w:val="00C42254"/>
    <w:rsid w:val="00C4294F"/>
    <w:rsid w:val="00C434F1"/>
    <w:rsid w:val="00C43500"/>
    <w:rsid w:val="00C438B5"/>
    <w:rsid w:val="00C43E62"/>
    <w:rsid w:val="00C44188"/>
    <w:rsid w:val="00C446E1"/>
    <w:rsid w:val="00C44702"/>
    <w:rsid w:val="00C44868"/>
    <w:rsid w:val="00C45E6E"/>
    <w:rsid w:val="00C45F52"/>
    <w:rsid w:val="00C46244"/>
    <w:rsid w:val="00C462AE"/>
    <w:rsid w:val="00C46538"/>
    <w:rsid w:val="00C46798"/>
    <w:rsid w:val="00C469EC"/>
    <w:rsid w:val="00C46CC8"/>
    <w:rsid w:val="00C470ED"/>
    <w:rsid w:val="00C50851"/>
    <w:rsid w:val="00C50C02"/>
    <w:rsid w:val="00C50CD3"/>
    <w:rsid w:val="00C50E78"/>
    <w:rsid w:val="00C51241"/>
    <w:rsid w:val="00C5137A"/>
    <w:rsid w:val="00C5198A"/>
    <w:rsid w:val="00C51FA6"/>
    <w:rsid w:val="00C52ABF"/>
    <w:rsid w:val="00C52E69"/>
    <w:rsid w:val="00C53127"/>
    <w:rsid w:val="00C532E4"/>
    <w:rsid w:val="00C535C2"/>
    <w:rsid w:val="00C541DD"/>
    <w:rsid w:val="00C54928"/>
    <w:rsid w:val="00C55918"/>
    <w:rsid w:val="00C56E49"/>
    <w:rsid w:val="00C56F31"/>
    <w:rsid w:val="00C572CB"/>
    <w:rsid w:val="00C57CA9"/>
    <w:rsid w:val="00C6009C"/>
    <w:rsid w:val="00C60DCF"/>
    <w:rsid w:val="00C6232C"/>
    <w:rsid w:val="00C62483"/>
    <w:rsid w:val="00C63219"/>
    <w:rsid w:val="00C63597"/>
    <w:rsid w:val="00C639C4"/>
    <w:rsid w:val="00C63F0A"/>
    <w:rsid w:val="00C648C3"/>
    <w:rsid w:val="00C649DB"/>
    <w:rsid w:val="00C65988"/>
    <w:rsid w:val="00C6599D"/>
    <w:rsid w:val="00C6611D"/>
    <w:rsid w:val="00C670B3"/>
    <w:rsid w:val="00C671A4"/>
    <w:rsid w:val="00C67A42"/>
    <w:rsid w:val="00C67D6C"/>
    <w:rsid w:val="00C700E0"/>
    <w:rsid w:val="00C706EC"/>
    <w:rsid w:val="00C70A8F"/>
    <w:rsid w:val="00C70C94"/>
    <w:rsid w:val="00C70C98"/>
    <w:rsid w:val="00C71561"/>
    <w:rsid w:val="00C729D7"/>
    <w:rsid w:val="00C734AE"/>
    <w:rsid w:val="00C7368A"/>
    <w:rsid w:val="00C741DC"/>
    <w:rsid w:val="00C74927"/>
    <w:rsid w:val="00C74B00"/>
    <w:rsid w:val="00C764B6"/>
    <w:rsid w:val="00C768EC"/>
    <w:rsid w:val="00C76935"/>
    <w:rsid w:val="00C770B6"/>
    <w:rsid w:val="00C77510"/>
    <w:rsid w:val="00C77770"/>
    <w:rsid w:val="00C8018F"/>
    <w:rsid w:val="00C80456"/>
    <w:rsid w:val="00C80588"/>
    <w:rsid w:val="00C820B5"/>
    <w:rsid w:val="00C820D9"/>
    <w:rsid w:val="00C82208"/>
    <w:rsid w:val="00C825EC"/>
    <w:rsid w:val="00C826E9"/>
    <w:rsid w:val="00C83378"/>
    <w:rsid w:val="00C83ED7"/>
    <w:rsid w:val="00C84753"/>
    <w:rsid w:val="00C84CCF"/>
    <w:rsid w:val="00C85175"/>
    <w:rsid w:val="00C85F65"/>
    <w:rsid w:val="00C863C8"/>
    <w:rsid w:val="00C8652B"/>
    <w:rsid w:val="00C90205"/>
    <w:rsid w:val="00C9021F"/>
    <w:rsid w:val="00C907F4"/>
    <w:rsid w:val="00C90867"/>
    <w:rsid w:val="00C90E70"/>
    <w:rsid w:val="00C9107C"/>
    <w:rsid w:val="00C91599"/>
    <w:rsid w:val="00C92032"/>
    <w:rsid w:val="00C9210F"/>
    <w:rsid w:val="00C92B59"/>
    <w:rsid w:val="00C92F66"/>
    <w:rsid w:val="00C93CC9"/>
    <w:rsid w:val="00C93FB7"/>
    <w:rsid w:val="00C94356"/>
    <w:rsid w:val="00C94E56"/>
    <w:rsid w:val="00C95102"/>
    <w:rsid w:val="00C963B4"/>
    <w:rsid w:val="00C96B8A"/>
    <w:rsid w:val="00C96FF7"/>
    <w:rsid w:val="00C972E9"/>
    <w:rsid w:val="00C97527"/>
    <w:rsid w:val="00C97A32"/>
    <w:rsid w:val="00C97A46"/>
    <w:rsid w:val="00CA0C61"/>
    <w:rsid w:val="00CA1458"/>
    <w:rsid w:val="00CA26E0"/>
    <w:rsid w:val="00CA28C5"/>
    <w:rsid w:val="00CA361B"/>
    <w:rsid w:val="00CA3C58"/>
    <w:rsid w:val="00CA42B5"/>
    <w:rsid w:val="00CA43BF"/>
    <w:rsid w:val="00CA4657"/>
    <w:rsid w:val="00CA46DD"/>
    <w:rsid w:val="00CA4732"/>
    <w:rsid w:val="00CA49F9"/>
    <w:rsid w:val="00CA5110"/>
    <w:rsid w:val="00CA552D"/>
    <w:rsid w:val="00CA57A5"/>
    <w:rsid w:val="00CA5986"/>
    <w:rsid w:val="00CA6226"/>
    <w:rsid w:val="00CA7E77"/>
    <w:rsid w:val="00CB05A7"/>
    <w:rsid w:val="00CB076F"/>
    <w:rsid w:val="00CB0C7A"/>
    <w:rsid w:val="00CB0D66"/>
    <w:rsid w:val="00CB2400"/>
    <w:rsid w:val="00CB255D"/>
    <w:rsid w:val="00CB2D43"/>
    <w:rsid w:val="00CB3A63"/>
    <w:rsid w:val="00CB469F"/>
    <w:rsid w:val="00CB4CB3"/>
    <w:rsid w:val="00CB5782"/>
    <w:rsid w:val="00CB5F18"/>
    <w:rsid w:val="00CB644A"/>
    <w:rsid w:val="00CB6B78"/>
    <w:rsid w:val="00CB72EF"/>
    <w:rsid w:val="00CB72F8"/>
    <w:rsid w:val="00CB790C"/>
    <w:rsid w:val="00CB7BDA"/>
    <w:rsid w:val="00CC0635"/>
    <w:rsid w:val="00CC0685"/>
    <w:rsid w:val="00CC0BCC"/>
    <w:rsid w:val="00CC1430"/>
    <w:rsid w:val="00CC1CE5"/>
    <w:rsid w:val="00CC2822"/>
    <w:rsid w:val="00CC2900"/>
    <w:rsid w:val="00CC456D"/>
    <w:rsid w:val="00CC54E9"/>
    <w:rsid w:val="00CC6201"/>
    <w:rsid w:val="00CC6AC3"/>
    <w:rsid w:val="00CC74E5"/>
    <w:rsid w:val="00CD0609"/>
    <w:rsid w:val="00CD0876"/>
    <w:rsid w:val="00CD126E"/>
    <w:rsid w:val="00CD2603"/>
    <w:rsid w:val="00CD2823"/>
    <w:rsid w:val="00CD2AB5"/>
    <w:rsid w:val="00CD2B84"/>
    <w:rsid w:val="00CD2DA8"/>
    <w:rsid w:val="00CD30D8"/>
    <w:rsid w:val="00CD3B85"/>
    <w:rsid w:val="00CD655E"/>
    <w:rsid w:val="00CD692F"/>
    <w:rsid w:val="00CD6AB3"/>
    <w:rsid w:val="00CD7B51"/>
    <w:rsid w:val="00CD7CE8"/>
    <w:rsid w:val="00CD7F19"/>
    <w:rsid w:val="00CD7FFD"/>
    <w:rsid w:val="00CE0016"/>
    <w:rsid w:val="00CE065D"/>
    <w:rsid w:val="00CE0A10"/>
    <w:rsid w:val="00CE0A6B"/>
    <w:rsid w:val="00CE102B"/>
    <w:rsid w:val="00CE15D5"/>
    <w:rsid w:val="00CE1C15"/>
    <w:rsid w:val="00CE26A9"/>
    <w:rsid w:val="00CE2F84"/>
    <w:rsid w:val="00CE3233"/>
    <w:rsid w:val="00CE3407"/>
    <w:rsid w:val="00CE3A77"/>
    <w:rsid w:val="00CE3D9F"/>
    <w:rsid w:val="00CE3E8B"/>
    <w:rsid w:val="00CE3E9D"/>
    <w:rsid w:val="00CE3FE4"/>
    <w:rsid w:val="00CE41F8"/>
    <w:rsid w:val="00CE42B7"/>
    <w:rsid w:val="00CE43B7"/>
    <w:rsid w:val="00CE4717"/>
    <w:rsid w:val="00CE4E64"/>
    <w:rsid w:val="00CE5A6F"/>
    <w:rsid w:val="00CE636F"/>
    <w:rsid w:val="00CE71A8"/>
    <w:rsid w:val="00CE7330"/>
    <w:rsid w:val="00CE75DC"/>
    <w:rsid w:val="00CF00D2"/>
    <w:rsid w:val="00CF010D"/>
    <w:rsid w:val="00CF02E3"/>
    <w:rsid w:val="00CF1344"/>
    <w:rsid w:val="00CF13AE"/>
    <w:rsid w:val="00CF162F"/>
    <w:rsid w:val="00CF2253"/>
    <w:rsid w:val="00CF3E65"/>
    <w:rsid w:val="00CF44FD"/>
    <w:rsid w:val="00CF4F05"/>
    <w:rsid w:val="00CF5A57"/>
    <w:rsid w:val="00CF63AA"/>
    <w:rsid w:val="00CF6E1E"/>
    <w:rsid w:val="00CF6E5E"/>
    <w:rsid w:val="00CF6F47"/>
    <w:rsid w:val="00CF7245"/>
    <w:rsid w:val="00CF73D2"/>
    <w:rsid w:val="00CF78CA"/>
    <w:rsid w:val="00CF7DD7"/>
    <w:rsid w:val="00D000D5"/>
    <w:rsid w:val="00D006F0"/>
    <w:rsid w:val="00D01156"/>
    <w:rsid w:val="00D029BE"/>
    <w:rsid w:val="00D02F28"/>
    <w:rsid w:val="00D030E5"/>
    <w:rsid w:val="00D0423A"/>
    <w:rsid w:val="00D05D5E"/>
    <w:rsid w:val="00D061E2"/>
    <w:rsid w:val="00D06458"/>
    <w:rsid w:val="00D07409"/>
    <w:rsid w:val="00D07462"/>
    <w:rsid w:val="00D0760C"/>
    <w:rsid w:val="00D07958"/>
    <w:rsid w:val="00D07C93"/>
    <w:rsid w:val="00D07F38"/>
    <w:rsid w:val="00D07F43"/>
    <w:rsid w:val="00D1008F"/>
    <w:rsid w:val="00D1086B"/>
    <w:rsid w:val="00D11387"/>
    <w:rsid w:val="00D11BF9"/>
    <w:rsid w:val="00D12048"/>
    <w:rsid w:val="00D12840"/>
    <w:rsid w:val="00D12A8C"/>
    <w:rsid w:val="00D12AA6"/>
    <w:rsid w:val="00D134AA"/>
    <w:rsid w:val="00D1386A"/>
    <w:rsid w:val="00D1437B"/>
    <w:rsid w:val="00D14564"/>
    <w:rsid w:val="00D1731C"/>
    <w:rsid w:val="00D17857"/>
    <w:rsid w:val="00D17C4F"/>
    <w:rsid w:val="00D2099E"/>
    <w:rsid w:val="00D20E23"/>
    <w:rsid w:val="00D21383"/>
    <w:rsid w:val="00D214D9"/>
    <w:rsid w:val="00D21732"/>
    <w:rsid w:val="00D219F4"/>
    <w:rsid w:val="00D22002"/>
    <w:rsid w:val="00D22123"/>
    <w:rsid w:val="00D2248B"/>
    <w:rsid w:val="00D2294B"/>
    <w:rsid w:val="00D22D30"/>
    <w:rsid w:val="00D23715"/>
    <w:rsid w:val="00D237FB"/>
    <w:rsid w:val="00D24573"/>
    <w:rsid w:val="00D24C2B"/>
    <w:rsid w:val="00D251C5"/>
    <w:rsid w:val="00D266AB"/>
    <w:rsid w:val="00D26F90"/>
    <w:rsid w:val="00D27CD9"/>
    <w:rsid w:val="00D27F2B"/>
    <w:rsid w:val="00D307AA"/>
    <w:rsid w:val="00D30E99"/>
    <w:rsid w:val="00D30EB2"/>
    <w:rsid w:val="00D30F1B"/>
    <w:rsid w:val="00D318C7"/>
    <w:rsid w:val="00D31B9B"/>
    <w:rsid w:val="00D31DF0"/>
    <w:rsid w:val="00D32622"/>
    <w:rsid w:val="00D32B9F"/>
    <w:rsid w:val="00D3307A"/>
    <w:rsid w:val="00D33517"/>
    <w:rsid w:val="00D3354B"/>
    <w:rsid w:val="00D33939"/>
    <w:rsid w:val="00D33AFD"/>
    <w:rsid w:val="00D33D09"/>
    <w:rsid w:val="00D34F2A"/>
    <w:rsid w:val="00D35690"/>
    <w:rsid w:val="00D360C6"/>
    <w:rsid w:val="00D3728C"/>
    <w:rsid w:val="00D3781A"/>
    <w:rsid w:val="00D37826"/>
    <w:rsid w:val="00D401DC"/>
    <w:rsid w:val="00D40A21"/>
    <w:rsid w:val="00D40A98"/>
    <w:rsid w:val="00D40AFE"/>
    <w:rsid w:val="00D419C2"/>
    <w:rsid w:val="00D41ADA"/>
    <w:rsid w:val="00D41D08"/>
    <w:rsid w:val="00D41EE1"/>
    <w:rsid w:val="00D43D2B"/>
    <w:rsid w:val="00D43D78"/>
    <w:rsid w:val="00D44997"/>
    <w:rsid w:val="00D44E3A"/>
    <w:rsid w:val="00D451F0"/>
    <w:rsid w:val="00D45D8F"/>
    <w:rsid w:val="00D46484"/>
    <w:rsid w:val="00D468F2"/>
    <w:rsid w:val="00D46A41"/>
    <w:rsid w:val="00D46F7C"/>
    <w:rsid w:val="00D4700B"/>
    <w:rsid w:val="00D47380"/>
    <w:rsid w:val="00D47562"/>
    <w:rsid w:val="00D476B9"/>
    <w:rsid w:val="00D50624"/>
    <w:rsid w:val="00D506E2"/>
    <w:rsid w:val="00D515C3"/>
    <w:rsid w:val="00D52135"/>
    <w:rsid w:val="00D54439"/>
    <w:rsid w:val="00D54ED7"/>
    <w:rsid w:val="00D54FA5"/>
    <w:rsid w:val="00D56222"/>
    <w:rsid w:val="00D568F3"/>
    <w:rsid w:val="00D56F8F"/>
    <w:rsid w:val="00D572FF"/>
    <w:rsid w:val="00D57355"/>
    <w:rsid w:val="00D606D5"/>
    <w:rsid w:val="00D61149"/>
    <w:rsid w:val="00D61B4D"/>
    <w:rsid w:val="00D61B88"/>
    <w:rsid w:val="00D61EED"/>
    <w:rsid w:val="00D62C14"/>
    <w:rsid w:val="00D638EC"/>
    <w:rsid w:val="00D63969"/>
    <w:rsid w:val="00D63ACB"/>
    <w:rsid w:val="00D63E38"/>
    <w:rsid w:val="00D6406A"/>
    <w:rsid w:val="00D64125"/>
    <w:rsid w:val="00D64345"/>
    <w:rsid w:val="00D64511"/>
    <w:rsid w:val="00D64AFA"/>
    <w:rsid w:val="00D65495"/>
    <w:rsid w:val="00D6555F"/>
    <w:rsid w:val="00D655EC"/>
    <w:rsid w:val="00D65A5A"/>
    <w:rsid w:val="00D66405"/>
    <w:rsid w:val="00D66638"/>
    <w:rsid w:val="00D66B2C"/>
    <w:rsid w:val="00D66B98"/>
    <w:rsid w:val="00D67BCE"/>
    <w:rsid w:val="00D70333"/>
    <w:rsid w:val="00D7095A"/>
    <w:rsid w:val="00D70A87"/>
    <w:rsid w:val="00D71852"/>
    <w:rsid w:val="00D71AB5"/>
    <w:rsid w:val="00D71AD5"/>
    <w:rsid w:val="00D71B21"/>
    <w:rsid w:val="00D71F35"/>
    <w:rsid w:val="00D725EE"/>
    <w:rsid w:val="00D72CD7"/>
    <w:rsid w:val="00D72E9E"/>
    <w:rsid w:val="00D738AB"/>
    <w:rsid w:val="00D73F92"/>
    <w:rsid w:val="00D74660"/>
    <w:rsid w:val="00D74877"/>
    <w:rsid w:val="00D74DB8"/>
    <w:rsid w:val="00D7658E"/>
    <w:rsid w:val="00D76F15"/>
    <w:rsid w:val="00D77254"/>
    <w:rsid w:val="00D77AC3"/>
    <w:rsid w:val="00D80537"/>
    <w:rsid w:val="00D80EB4"/>
    <w:rsid w:val="00D81136"/>
    <w:rsid w:val="00D8172E"/>
    <w:rsid w:val="00D83197"/>
    <w:rsid w:val="00D83750"/>
    <w:rsid w:val="00D84279"/>
    <w:rsid w:val="00D8489E"/>
    <w:rsid w:val="00D84903"/>
    <w:rsid w:val="00D84A2B"/>
    <w:rsid w:val="00D84AE2"/>
    <w:rsid w:val="00D85905"/>
    <w:rsid w:val="00D85B48"/>
    <w:rsid w:val="00D85E9F"/>
    <w:rsid w:val="00D8612D"/>
    <w:rsid w:val="00D866F5"/>
    <w:rsid w:val="00D870E0"/>
    <w:rsid w:val="00D8737C"/>
    <w:rsid w:val="00D879A8"/>
    <w:rsid w:val="00D902B6"/>
    <w:rsid w:val="00D90542"/>
    <w:rsid w:val="00D90E4A"/>
    <w:rsid w:val="00D915E9"/>
    <w:rsid w:val="00D92BDB"/>
    <w:rsid w:val="00D92C78"/>
    <w:rsid w:val="00D92DA4"/>
    <w:rsid w:val="00D92FA0"/>
    <w:rsid w:val="00D932F9"/>
    <w:rsid w:val="00D94176"/>
    <w:rsid w:val="00D945AB"/>
    <w:rsid w:val="00D94753"/>
    <w:rsid w:val="00D94785"/>
    <w:rsid w:val="00D94C2E"/>
    <w:rsid w:val="00D95E49"/>
    <w:rsid w:val="00D95FEF"/>
    <w:rsid w:val="00D962BD"/>
    <w:rsid w:val="00D96A57"/>
    <w:rsid w:val="00D96DED"/>
    <w:rsid w:val="00D977E7"/>
    <w:rsid w:val="00D979A7"/>
    <w:rsid w:val="00D979E4"/>
    <w:rsid w:val="00DA00A0"/>
    <w:rsid w:val="00DA0872"/>
    <w:rsid w:val="00DA0971"/>
    <w:rsid w:val="00DA1C6D"/>
    <w:rsid w:val="00DA2745"/>
    <w:rsid w:val="00DA2C23"/>
    <w:rsid w:val="00DA37FE"/>
    <w:rsid w:val="00DA56D8"/>
    <w:rsid w:val="00DA5C5B"/>
    <w:rsid w:val="00DA6557"/>
    <w:rsid w:val="00DA6A32"/>
    <w:rsid w:val="00DA704A"/>
    <w:rsid w:val="00DA7A75"/>
    <w:rsid w:val="00DA7DC0"/>
    <w:rsid w:val="00DB01D8"/>
    <w:rsid w:val="00DB04B8"/>
    <w:rsid w:val="00DB0777"/>
    <w:rsid w:val="00DB0805"/>
    <w:rsid w:val="00DB0B2C"/>
    <w:rsid w:val="00DB0B81"/>
    <w:rsid w:val="00DB0F8E"/>
    <w:rsid w:val="00DB1A9E"/>
    <w:rsid w:val="00DB2A30"/>
    <w:rsid w:val="00DB2BDE"/>
    <w:rsid w:val="00DB4121"/>
    <w:rsid w:val="00DB578F"/>
    <w:rsid w:val="00DB5A1D"/>
    <w:rsid w:val="00DB619C"/>
    <w:rsid w:val="00DB6FF2"/>
    <w:rsid w:val="00DB7220"/>
    <w:rsid w:val="00DB7799"/>
    <w:rsid w:val="00DB7A43"/>
    <w:rsid w:val="00DC0DB4"/>
    <w:rsid w:val="00DC12F8"/>
    <w:rsid w:val="00DC1B0C"/>
    <w:rsid w:val="00DC2252"/>
    <w:rsid w:val="00DC28E1"/>
    <w:rsid w:val="00DC319F"/>
    <w:rsid w:val="00DC3EF6"/>
    <w:rsid w:val="00DC40EE"/>
    <w:rsid w:val="00DC4535"/>
    <w:rsid w:val="00DC4B38"/>
    <w:rsid w:val="00DC5575"/>
    <w:rsid w:val="00DC5771"/>
    <w:rsid w:val="00DC5E70"/>
    <w:rsid w:val="00DC6B50"/>
    <w:rsid w:val="00DC71AA"/>
    <w:rsid w:val="00DC7BDD"/>
    <w:rsid w:val="00DD04AE"/>
    <w:rsid w:val="00DD0782"/>
    <w:rsid w:val="00DD0FAC"/>
    <w:rsid w:val="00DD12AD"/>
    <w:rsid w:val="00DD13D1"/>
    <w:rsid w:val="00DD157E"/>
    <w:rsid w:val="00DD16B9"/>
    <w:rsid w:val="00DD1A60"/>
    <w:rsid w:val="00DD1E16"/>
    <w:rsid w:val="00DD20F3"/>
    <w:rsid w:val="00DD2667"/>
    <w:rsid w:val="00DD31D7"/>
    <w:rsid w:val="00DD35E4"/>
    <w:rsid w:val="00DD3A5D"/>
    <w:rsid w:val="00DD4DA2"/>
    <w:rsid w:val="00DD5342"/>
    <w:rsid w:val="00DD56B9"/>
    <w:rsid w:val="00DD583C"/>
    <w:rsid w:val="00DD5C71"/>
    <w:rsid w:val="00DD6662"/>
    <w:rsid w:val="00DD736D"/>
    <w:rsid w:val="00DD765B"/>
    <w:rsid w:val="00DD7B60"/>
    <w:rsid w:val="00DE07B4"/>
    <w:rsid w:val="00DE0AB4"/>
    <w:rsid w:val="00DE0E2E"/>
    <w:rsid w:val="00DE23D4"/>
    <w:rsid w:val="00DE243E"/>
    <w:rsid w:val="00DE296A"/>
    <w:rsid w:val="00DE470A"/>
    <w:rsid w:val="00DE4B55"/>
    <w:rsid w:val="00DE58D4"/>
    <w:rsid w:val="00DE5A99"/>
    <w:rsid w:val="00DE5FE2"/>
    <w:rsid w:val="00DE60EC"/>
    <w:rsid w:val="00DE6957"/>
    <w:rsid w:val="00DE74BD"/>
    <w:rsid w:val="00DE784C"/>
    <w:rsid w:val="00DF0EF2"/>
    <w:rsid w:val="00DF0F04"/>
    <w:rsid w:val="00DF2D91"/>
    <w:rsid w:val="00DF34A6"/>
    <w:rsid w:val="00DF38DD"/>
    <w:rsid w:val="00DF3967"/>
    <w:rsid w:val="00DF3C92"/>
    <w:rsid w:val="00DF3FAD"/>
    <w:rsid w:val="00DF4538"/>
    <w:rsid w:val="00DF503F"/>
    <w:rsid w:val="00DF51A1"/>
    <w:rsid w:val="00DF562C"/>
    <w:rsid w:val="00DF5D57"/>
    <w:rsid w:val="00DF5DEB"/>
    <w:rsid w:val="00DF5E99"/>
    <w:rsid w:val="00DF5F25"/>
    <w:rsid w:val="00DF63F7"/>
    <w:rsid w:val="00DF6F2E"/>
    <w:rsid w:val="00DF6FBD"/>
    <w:rsid w:val="00DF734F"/>
    <w:rsid w:val="00DF767A"/>
    <w:rsid w:val="00E00010"/>
    <w:rsid w:val="00E000ED"/>
    <w:rsid w:val="00E00798"/>
    <w:rsid w:val="00E00813"/>
    <w:rsid w:val="00E00AA6"/>
    <w:rsid w:val="00E01541"/>
    <w:rsid w:val="00E01600"/>
    <w:rsid w:val="00E0267A"/>
    <w:rsid w:val="00E02DE4"/>
    <w:rsid w:val="00E030FE"/>
    <w:rsid w:val="00E04E7F"/>
    <w:rsid w:val="00E05846"/>
    <w:rsid w:val="00E05C0F"/>
    <w:rsid w:val="00E06477"/>
    <w:rsid w:val="00E0705C"/>
    <w:rsid w:val="00E071FC"/>
    <w:rsid w:val="00E07C35"/>
    <w:rsid w:val="00E106EE"/>
    <w:rsid w:val="00E11DA8"/>
    <w:rsid w:val="00E12310"/>
    <w:rsid w:val="00E12970"/>
    <w:rsid w:val="00E12FCB"/>
    <w:rsid w:val="00E150E7"/>
    <w:rsid w:val="00E1663B"/>
    <w:rsid w:val="00E16974"/>
    <w:rsid w:val="00E16B27"/>
    <w:rsid w:val="00E16B7C"/>
    <w:rsid w:val="00E16E9A"/>
    <w:rsid w:val="00E20528"/>
    <w:rsid w:val="00E20EA9"/>
    <w:rsid w:val="00E2113E"/>
    <w:rsid w:val="00E21151"/>
    <w:rsid w:val="00E22D7C"/>
    <w:rsid w:val="00E23168"/>
    <w:rsid w:val="00E232A9"/>
    <w:rsid w:val="00E235DF"/>
    <w:rsid w:val="00E23FE7"/>
    <w:rsid w:val="00E24156"/>
    <w:rsid w:val="00E24571"/>
    <w:rsid w:val="00E246A6"/>
    <w:rsid w:val="00E2689B"/>
    <w:rsid w:val="00E2689D"/>
    <w:rsid w:val="00E2751A"/>
    <w:rsid w:val="00E27A3A"/>
    <w:rsid w:val="00E300E2"/>
    <w:rsid w:val="00E30225"/>
    <w:rsid w:val="00E3159B"/>
    <w:rsid w:val="00E317F5"/>
    <w:rsid w:val="00E337AF"/>
    <w:rsid w:val="00E34492"/>
    <w:rsid w:val="00E34AAF"/>
    <w:rsid w:val="00E372BC"/>
    <w:rsid w:val="00E37369"/>
    <w:rsid w:val="00E37430"/>
    <w:rsid w:val="00E37545"/>
    <w:rsid w:val="00E3760C"/>
    <w:rsid w:val="00E37DD2"/>
    <w:rsid w:val="00E410FA"/>
    <w:rsid w:val="00E41798"/>
    <w:rsid w:val="00E423B4"/>
    <w:rsid w:val="00E42695"/>
    <w:rsid w:val="00E42F0B"/>
    <w:rsid w:val="00E436EE"/>
    <w:rsid w:val="00E442FE"/>
    <w:rsid w:val="00E452A6"/>
    <w:rsid w:val="00E45AB4"/>
    <w:rsid w:val="00E45BAF"/>
    <w:rsid w:val="00E45C7A"/>
    <w:rsid w:val="00E463B2"/>
    <w:rsid w:val="00E46ADB"/>
    <w:rsid w:val="00E46C49"/>
    <w:rsid w:val="00E47098"/>
    <w:rsid w:val="00E470F3"/>
    <w:rsid w:val="00E477A5"/>
    <w:rsid w:val="00E4787E"/>
    <w:rsid w:val="00E479E9"/>
    <w:rsid w:val="00E500D4"/>
    <w:rsid w:val="00E50A91"/>
    <w:rsid w:val="00E50B9F"/>
    <w:rsid w:val="00E51970"/>
    <w:rsid w:val="00E51E1C"/>
    <w:rsid w:val="00E525F5"/>
    <w:rsid w:val="00E528FA"/>
    <w:rsid w:val="00E52BD5"/>
    <w:rsid w:val="00E5330D"/>
    <w:rsid w:val="00E536F9"/>
    <w:rsid w:val="00E5495C"/>
    <w:rsid w:val="00E54A96"/>
    <w:rsid w:val="00E54F9D"/>
    <w:rsid w:val="00E55045"/>
    <w:rsid w:val="00E55568"/>
    <w:rsid w:val="00E56CEB"/>
    <w:rsid w:val="00E575E4"/>
    <w:rsid w:val="00E57CE6"/>
    <w:rsid w:val="00E601A0"/>
    <w:rsid w:val="00E606EA"/>
    <w:rsid w:val="00E61043"/>
    <w:rsid w:val="00E6139D"/>
    <w:rsid w:val="00E61460"/>
    <w:rsid w:val="00E614FE"/>
    <w:rsid w:val="00E61815"/>
    <w:rsid w:val="00E61D24"/>
    <w:rsid w:val="00E61E9C"/>
    <w:rsid w:val="00E62303"/>
    <w:rsid w:val="00E63197"/>
    <w:rsid w:val="00E63B99"/>
    <w:rsid w:val="00E63CCD"/>
    <w:rsid w:val="00E63E58"/>
    <w:rsid w:val="00E642F2"/>
    <w:rsid w:val="00E64969"/>
    <w:rsid w:val="00E65B46"/>
    <w:rsid w:val="00E6643A"/>
    <w:rsid w:val="00E66584"/>
    <w:rsid w:val="00E668D0"/>
    <w:rsid w:val="00E66E99"/>
    <w:rsid w:val="00E67832"/>
    <w:rsid w:val="00E679A4"/>
    <w:rsid w:val="00E7013F"/>
    <w:rsid w:val="00E711D1"/>
    <w:rsid w:val="00E72167"/>
    <w:rsid w:val="00E7256C"/>
    <w:rsid w:val="00E72A33"/>
    <w:rsid w:val="00E72F58"/>
    <w:rsid w:val="00E73B4F"/>
    <w:rsid w:val="00E740FD"/>
    <w:rsid w:val="00E74104"/>
    <w:rsid w:val="00E745ED"/>
    <w:rsid w:val="00E7504E"/>
    <w:rsid w:val="00E7511B"/>
    <w:rsid w:val="00E76870"/>
    <w:rsid w:val="00E76F2B"/>
    <w:rsid w:val="00E771C5"/>
    <w:rsid w:val="00E7766E"/>
    <w:rsid w:val="00E77C21"/>
    <w:rsid w:val="00E80D13"/>
    <w:rsid w:val="00E80FB2"/>
    <w:rsid w:val="00E83B92"/>
    <w:rsid w:val="00E83C30"/>
    <w:rsid w:val="00E83D71"/>
    <w:rsid w:val="00E83E4F"/>
    <w:rsid w:val="00E83F41"/>
    <w:rsid w:val="00E8460A"/>
    <w:rsid w:val="00E8540D"/>
    <w:rsid w:val="00E85808"/>
    <w:rsid w:val="00E8584A"/>
    <w:rsid w:val="00E86989"/>
    <w:rsid w:val="00E86F4E"/>
    <w:rsid w:val="00E879B7"/>
    <w:rsid w:val="00E91520"/>
    <w:rsid w:val="00E91845"/>
    <w:rsid w:val="00E921D2"/>
    <w:rsid w:val="00E92342"/>
    <w:rsid w:val="00E933B3"/>
    <w:rsid w:val="00E93AFA"/>
    <w:rsid w:val="00E93FC7"/>
    <w:rsid w:val="00E948F0"/>
    <w:rsid w:val="00E94E8B"/>
    <w:rsid w:val="00E95183"/>
    <w:rsid w:val="00E9542D"/>
    <w:rsid w:val="00E95F5E"/>
    <w:rsid w:val="00E96DDF"/>
    <w:rsid w:val="00E97493"/>
    <w:rsid w:val="00E975B6"/>
    <w:rsid w:val="00E97720"/>
    <w:rsid w:val="00E978B6"/>
    <w:rsid w:val="00EA024D"/>
    <w:rsid w:val="00EA02D0"/>
    <w:rsid w:val="00EA15DF"/>
    <w:rsid w:val="00EA174E"/>
    <w:rsid w:val="00EA21C5"/>
    <w:rsid w:val="00EA268A"/>
    <w:rsid w:val="00EA29B5"/>
    <w:rsid w:val="00EA29C9"/>
    <w:rsid w:val="00EA2CA7"/>
    <w:rsid w:val="00EA2EE4"/>
    <w:rsid w:val="00EA32B3"/>
    <w:rsid w:val="00EA458E"/>
    <w:rsid w:val="00EA4590"/>
    <w:rsid w:val="00EA49A2"/>
    <w:rsid w:val="00EA4A48"/>
    <w:rsid w:val="00EA5C4C"/>
    <w:rsid w:val="00EA630D"/>
    <w:rsid w:val="00EA6825"/>
    <w:rsid w:val="00EA6DF2"/>
    <w:rsid w:val="00EA71A6"/>
    <w:rsid w:val="00EA71D3"/>
    <w:rsid w:val="00EA7B93"/>
    <w:rsid w:val="00EA7DF4"/>
    <w:rsid w:val="00EB0896"/>
    <w:rsid w:val="00EB0BEA"/>
    <w:rsid w:val="00EB0FBA"/>
    <w:rsid w:val="00EB11D9"/>
    <w:rsid w:val="00EB1B96"/>
    <w:rsid w:val="00EB2002"/>
    <w:rsid w:val="00EB22F3"/>
    <w:rsid w:val="00EB25FD"/>
    <w:rsid w:val="00EB26DB"/>
    <w:rsid w:val="00EB2F88"/>
    <w:rsid w:val="00EB3947"/>
    <w:rsid w:val="00EB4359"/>
    <w:rsid w:val="00EB4C33"/>
    <w:rsid w:val="00EB5639"/>
    <w:rsid w:val="00EB5EDD"/>
    <w:rsid w:val="00EB68AB"/>
    <w:rsid w:val="00EB6E82"/>
    <w:rsid w:val="00EB760C"/>
    <w:rsid w:val="00EB7738"/>
    <w:rsid w:val="00EB776E"/>
    <w:rsid w:val="00EB7851"/>
    <w:rsid w:val="00EB788C"/>
    <w:rsid w:val="00EC0318"/>
    <w:rsid w:val="00EC0354"/>
    <w:rsid w:val="00EC03E3"/>
    <w:rsid w:val="00EC0482"/>
    <w:rsid w:val="00EC04B0"/>
    <w:rsid w:val="00EC06B7"/>
    <w:rsid w:val="00EC1238"/>
    <w:rsid w:val="00EC2AF9"/>
    <w:rsid w:val="00EC348D"/>
    <w:rsid w:val="00EC432F"/>
    <w:rsid w:val="00EC488C"/>
    <w:rsid w:val="00EC4946"/>
    <w:rsid w:val="00EC4A6C"/>
    <w:rsid w:val="00EC4B07"/>
    <w:rsid w:val="00EC4E41"/>
    <w:rsid w:val="00EC4FA0"/>
    <w:rsid w:val="00EC4FC6"/>
    <w:rsid w:val="00EC4FD6"/>
    <w:rsid w:val="00EC5094"/>
    <w:rsid w:val="00EC586E"/>
    <w:rsid w:val="00EC69CF"/>
    <w:rsid w:val="00EC7181"/>
    <w:rsid w:val="00EC7DEE"/>
    <w:rsid w:val="00ED04E7"/>
    <w:rsid w:val="00ED09F1"/>
    <w:rsid w:val="00ED192F"/>
    <w:rsid w:val="00ED2766"/>
    <w:rsid w:val="00ED3A89"/>
    <w:rsid w:val="00ED3CA7"/>
    <w:rsid w:val="00ED3D40"/>
    <w:rsid w:val="00ED4B97"/>
    <w:rsid w:val="00ED543F"/>
    <w:rsid w:val="00ED577C"/>
    <w:rsid w:val="00ED607F"/>
    <w:rsid w:val="00ED69E3"/>
    <w:rsid w:val="00ED6CC2"/>
    <w:rsid w:val="00ED6E6F"/>
    <w:rsid w:val="00ED7467"/>
    <w:rsid w:val="00ED7BA1"/>
    <w:rsid w:val="00ED7BF4"/>
    <w:rsid w:val="00EE0B0F"/>
    <w:rsid w:val="00EE0FCE"/>
    <w:rsid w:val="00EE1413"/>
    <w:rsid w:val="00EE2175"/>
    <w:rsid w:val="00EE2D20"/>
    <w:rsid w:val="00EE2F40"/>
    <w:rsid w:val="00EE36C1"/>
    <w:rsid w:val="00EE3747"/>
    <w:rsid w:val="00EE39B5"/>
    <w:rsid w:val="00EE4303"/>
    <w:rsid w:val="00EE5564"/>
    <w:rsid w:val="00EE593B"/>
    <w:rsid w:val="00EE5D81"/>
    <w:rsid w:val="00EE773C"/>
    <w:rsid w:val="00EE7A1D"/>
    <w:rsid w:val="00EF035F"/>
    <w:rsid w:val="00EF06A7"/>
    <w:rsid w:val="00EF15F2"/>
    <w:rsid w:val="00EF1D73"/>
    <w:rsid w:val="00EF2B4C"/>
    <w:rsid w:val="00EF2F09"/>
    <w:rsid w:val="00EF36BC"/>
    <w:rsid w:val="00EF4448"/>
    <w:rsid w:val="00EF4859"/>
    <w:rsid w:val="00EF5253"/>
    <w:rsid w:val="00EF5663"/>
    <w:rsid w:val="00EF5FD2"/>
    <w:rsid w:val="00EF658E"/>
    <w:rsid w:val="00EF69E4"/>
    <w:rsid w:val="00EF7339"/>
    <w:rsid w:val="00F00BFE"/>
    <w:rsid w:val="00F0142C"/>
    <w:rsid w:val="00F0272A"/>
    <w:rsid w:val="00F0346C"/>
    <w:rsid w:val="00F03CA0"/>
    <w:rsid w:val="00F0535E"/>
    <w:rsid w:val="00F05B25"/>
    <w:rsid w:val="00F05CAA"/>
    <w:rsid w:val="00F06AD4"/>
    <w:rsid w:val="00F114FF"/>
    <w:rsid w:val="00F119C9"/>
    <w:rsid w:val="00F11D6E"/>
    <w:rsid w:val="00F11F01"/>
    <w:rsid w:val="00F11F33"/>
    <w:rsid w:val="00F125C4"/>
    <w:rsid w:val="00F12F4B"/>
    <w:rsid w:val="00F13003"/>
    <w:rsid w:val="00F132B6"/>
    <w:rsid w:val="00F13C21"/>
    <w:rsid w:val="00F13E3C"/>
    <w:rsid w:val="00F14485"/>
    <w:rsid w:val="00F14F5C"/>
    <w:rsid w:val="00F15550"/>
    <w:rsid w:val="00F15BFA"/>
    <w:rsid w:val="00F15D46"/>
    <w:rsid w:val="00F15E43"/>
    <w:rsid w:val="00F15FB1"/>
    <w:rsid w:val="00F16F70"/>
    <w:rsid w:val="00F17463"/>
    <w:rsid w:val="00F17F1D"/>
    <w:rsid w:val="00F20565"/>
    <w:rsid w:val="00F20F3B"/>
    <w:rsid w:val="00F2103B"/>
    <w:rsid w:val="00F22235"/>
    <w:rsid w:val="00F228B4"/>
    <w:rsid w:val="00F22B0A"/>
    <w:rsid w:val="00F22D35"/>
    <w:rsid w:val="00F22D73"/>
    <w:rsid w:val="00F22F86"/>
    <w:rsid w:val="00F23DA0"/>
    <w:rsid w:val="00F244E9"/>
    <w:rsid w:val="00F247A2"/>
    <w:rsid w:val="00F24CD4"/>
    <w:rsid w:val="00F24F6F"/>
    <w:rsid w:val="00F25258"/>
    <w:rsid w:val="00F252AA"/>
    <w:rsid w:val="00F25CA4"/>
    <w:rsid w:val="00F25D0E"/>
    <w:rsid w:val="00F262ED"/>
    <w:rsid w:val="00F26379"/>
    <w:rsid w:val="00F26AE3"/>
    <w:rsid w:val="00F26C2D"/>
    <w:rsid w:val="00F27017"/>
    <w:rsid w:val="00F27921"/>
    <w:rsid w:val="00F27B17"/>
    <w:rsid w:val="00F306C5"/>
    <w:rsid w:val="00F31152"/>
    <w:rsid w:val="00F31ACA"/>
    <w:rsid w:val="00F32DB5"/>
    <w:rsid w:val="00F3360A"/>
    <w:rsid w:val="00F3444D"/>
    <w:rsid w:val="00F34586"/>
    <w:rsid w:val="00F359D5"/>
    <w:rsid w:val="00F376E4"/>
    <w:rsid w:val="00F37C91"/>
    <w:rsid w:val="00F40044"/>
    <w:rsid w:val="00F40887"/>
    <w:rsid w:val="00F40E63"/>
    <w:rsid w:val="00F41882"/>
    <w:rsid w:val="00F4291D"/>
    <w:rsid w:val="00F42B95"/>
    <w:rsid w:val="00F4338A"/>
    <w:rsid w:val="00F43537"/>
    <w:rsid w:val="00F43E62"/>
    <w:rsid w:val="00F43FA6"/>
    <w:rsid w:val="00F44354"/>
    <w:rsid w:val="00F44980"/>
    <w:rsid w:val="00F44DF0"/>
    <w:rsid w:val="00F44EAB"/>
    <w:rsid w:val="00F451E1"/>
    <w:rsid w:val="00F47796"/>
    <w:rsid w:val="00F477DB"/>
    <w:rsid w:val="00F503E3"/>
    <w:rsid w:val="00F51143"/>
    <w:rsid w:val="00F51449"/>
    <w:rsid w:val="00F51BCB"/>
    <w:rsid w:val="00F52986"/>
    <w:rsid w:val="00F53A27"/>
    <w:rsid w:val="00F53AD4"/>
    <w:rsid w:val="00F53EF7"/>
    <w:rsid w:val="00F53F9A"/>
    <w:rsid w:val="00F54479"/>
    <w:rsid w:val="00F54AF9"/>
    <w:rsid w:val="00F550CF"/>
    <w:rsid w:val="00F56AAD"/>
    <w:rsid w:val="00F57214"/>
    <w:rsid w:val="00F57441"/>
    <w:rsid w:val="00F57A7D"/>
    <w:rsid w:val="00F57C7B"/>
    <w:rsid w:val="00F57CF1"/>
    <w:rsid w:val="00F60032"/>
    <w:rsid w:val="00F60333"/>
    <w:rsid w:val="00F609AD"/>
    <w:rsid w:val="00F615EA"/>
    <w:rsid w:val="00F61711"/>
    <w:rsid w:val="00F6174C"/>
    <w:rsid w:val="00F61807"/>
    <w:rsid w:val="00F61859"/>
    <w:rsid w:val="00F62814"/>
    <w:rsid w:val="00F62AC6"/>
    <w:rsid w:val="00F62C70"/>
    <w:rsid w:val="00F63558"/>
    <w:rsid w:val="00F63F82"/>
    <w:rsid w:val="00F64206"/>
    <w:rsid w:val="00F64244"/>
    <w:rsid w:val="00F64F6E"/>
    <w:rsid w:val="00F657EB"/>
    <w:rsid w:val="00F65BE4"/>
    <w:rsid w:val="00F664E0"/>
    <w:rsid w:val="00F665FC"/>
    <w:rsid w:val="00F66B2A"/>
    <w:rsid w:val="00F670E1"/>
    <w:rsid w:val="00F6720E"/>
    <w:rsid w:val="00F67274"/>
    <w:rsid w:val="00F672AE"/>
    <w:rsid w:val="00F6763E"/>
    <w:rsid w:val="00F67846"/>
    <w:rsid w:val="00F67F18"/>
    <w:rsid w:val="00F70624"/>
    <w:rsid w:val="00F70DF3"/>
    <w:rsid w:val="00F70E61"/>
    <w:rsid w:val="00F72775"/>
    <w:rsid w:val="00F72CCF"/>
    <w:rsid w:val="00F73230"/>
    <w:rsid w:val="00F73467"/>
    <w:rsid w:val="00F759F2"/>
    <w:rsid w:val="00F761B1"/>
    <w:rsid w:val="00F765F4"/>
    <w:rsid w:val="00F7664C"/>
    <w:rsid w:val="00F76CD0"/>
    <w:rsid w:val="00F8099B"/>
    <w:rsid w:val="00F8123E"/>
    <w:rsid w:val="00F8178A"/>
    <w:rsid w:val="00F81E62"/>
    <w:rsid w:val="00F82ED1"/>
    <w:rsid w:val="00F83281"/>
    <w:rsid w:val="00F83BA9"/>
    <w:rsid w:val="00F83D0C"/>
    <w:rsid w:val="00F83F07"/>
    <w:rsid w:val="00F84340"/>
    <w:rsid w:val="00F846A6"/>
    <w:rsid w:val="00F850B6"/>
    <w:rsid w:val="00F85196"/>
    <w:rsid w:val="00F8537E"/>
    <w:rsid w:val="00F85C22"/>
    <w:rsid w:val="00F85DE9"/>
    <w:rsid w:val="00F85FFB"/>
    <w:rsid w:val="00F875F6"/>
    <w:rsid w:val="00F918E2"/>
    <w:rsid w:val="00F9249C"/>
    <w:rsid w:val="00F930DA"/>
    <w:rsid w:val="00F9501B"/>
    <w:rsid w:val="00F95854"/>
    <w:rsid w:val="00F95DAA"/>
    <w:rsid w:val="00F96080"/>
    <w:rsid w:val="00F9613F"/>
    <w:rsid w:val="00F97357"/>
    <w:rsid w:val="00F97451"/>
    <w:rsid w:val="00F9785B"/>
    <w:rsid w:val="00F9785E"/>
    <w:rsid w:val="00F97875"/>
    <w:rsid w:val="00FA0666"/>
    <w:rsid w:val="00FA07AA"/>
    <w:rsid w:val="00FA1535"/>
    <w:rsid w:val="00FA195A"/>
    <w:rsid w:val="00FA19AD"/>
    <w:rsid w:val="00FA2356"/>
    <w:rsid w:val="00FA2603"/>
    <w:rsid w:val="00FA3399"/>
    <w:rsid w:val="00FA38FF"/>
    <w:rsid w:val="00FA3C85"/>
    <w:rsid w:val="00FA3DA9"/>
    <w:rsid w:val="00FA444B"/>
    <w:rsid w:val="00FA46F9"/>
    <w:rsid w:val="00FA56B9"/>
    <w:rsid w:val="00FA7176"/>
    <w:rsid w:val="00FB0EBB"/>
    <w:rsid w:val="00FB11A0"/>
    <w:rsid w:val="00FB1CDE"/>
    <w:rsid w:val="00FB2B18"/>
    <w:rsid w:val="00FB3DDC"/>
    <w:rsid w:val="00FB4455"/>
    <w:rsid w:val="00FB56B0"/>
    <w:rsid w:val="00FB5745"/>
    <w:rsid w:val="00FB58E7"/>
    <w:rsid w:val="00FB5A4A"/>
    <w:rsid w:val="00FB5EA9"/>
    <w:rsid w:val="00FB63C5"/>
    <w:rsid w:val="00FB6608"/>
    <w:rsid w:val="00FB6BF0"/>
    <w:rsid w:val="00FB74A3"/>
    <w:rsid w:val="00FB757C"/>
    <w:rsid w:val="00FB7683"/>
    <w:rsid w:val="00FB78D9"/>
    <w:rsid w:val="00FB7B5C"/>
    <w:rsid w:val="00FC01FA"/>
    <w:rsid w:val="00FC0662"/>
    <w:rsid w:val="00FC0860"/>
    <w:rsid w:val="00FC0D2A"/>
    <w:rsid w:val="00FC11FA"/>
    <w:rsid w:val="00FC32C7"/>
    <w:rsid w:val="00FC331F"/>
    <w:rsid w:val="00FC37A8"/>
    <w:rsid w:val="00FC3DCF"/>
    <w:rsid w:val="00FC4917"/>
    <w:rsid w:val="00FC4A16"/>
    <w:rsid w:val="00FC5904"/>
    <w:rsid w:val="00FC5F4F"/>
    <w:rsid w:val="00FC600C"/>
    <w:rsid w:val="00FC638C"/>
    <w:rsid w:val="00FC63AB"/>
    <w:rsid w:val="00FC6E93"/>
    <w:rsid w:val="00FC7463"/>
    <w:rsid w:val="00FC747B"/>
    <w:rsid w:val="00FD01A6"/>
    <w:rsid w:val="00FD0844"/>
    <w:rsid w:val="00FD1047"/>
    <w:rsid w:val="00FD1306"/>
    <w:rsid w:val="00FD139A"/>
    <w:rsid w:val="00FD1479"/>
    <w:rsid w:val="00FD1AE3"/>
    <w:rsid w:val="00FD35CE"/>
    <w:rsid w:val="00FD3626"/>
    <w:rsid w:val="00FD439C"/>
    <w:rsid w:val="00FD5D0B"/>
    <w:rsid w:val="00FD5FB0"/>
    <w:rsid w:val="00FD6061"/>
    <w:rsid w:val="00FD61DF"/>
    <w:rsid w:val="00FD7426"/>
    <w:rsid w:val="00FD760E"/>
    <w:rsid w:val="00FD76B1"/>
    <w:rsid w:val="00FD7BC9"/>
    <w:rsid w:val="00FE08BB"/>
    <w:rsid w:val="00FE093F"/>
    <w:rsid w:val="00FE15CD"/>
    <w:rsid w:val="00FE24F1"/>
    <w:rsid w:val="00FE2A51"/>
    <w:rsid w:val="00FE2D3B"/>
    <w:rsid w:val="00FE3573"/>
    <w:rsid w:val="00FE3BB9"/>
    <w:rsid w:val="00FE4150"/>
    <w:rsid w:val="00FE5488"/>
    <w:rsid w:val="00FE5873"/>
    <w:rsid w:val="00FE5B96"/>
    <w:rsid w:val="00FE5CFF"/>
    <w:rsid w:val="00FE6896"/>
    <w:rsid w:val="00FE73A9"/>
    <w:rsid w:val="00FE76E7"/>
    <w:rsid w:val="00FE775D"/>
    <w:rsid w:val="00FE7B22"/>
    <w:rsid w:val="00FF0222"/>
    <w:rsid w:val="00FF033A"/>
    <w:rsid w:val="00FF03F2"/>
    <w:rsid w:val="00FF07E1"/>
    <w:rsid w:val="00FF083B"/>
    <w:rsid w:val="00FF1351"/>
    <w:rsid w:val="00FF1BCA"/>
    <w:rsid w:val="00FF1F42"/>
    <w:rsid w:val="00FF22E8"/>
    <w:rsid w:val="00FF2E47"/>
    <w:rsid w:val="00FF30B2"/>
    <w:rsid w:val="00FF369B"/>
    <w:rsid w:val="00FF378B"/>
    <w:rsid w:val="00FF453B"/>
    <w:rsid w:val="00FF46C4"/>
    <w:rsid w:val="00FF46CE"/>
    <w:rsid w:val="00FF4ACD"/>
    <w:rsid w:val="00FF50D1"/>
    <w:rsid w:val="00FF52E1"/>
    <w:rsid w:val="00FF538B"/>
    <w:rsid w:val="00FF58FA"/>
    <w:rsid w:val="00FF5AE1"/>
    <w:rsid w:val="00FF5DA2"/>
    <w:rsid w:val="00FF614B"/>
    <w:rsid w:val="00FF6AC6"/>
    <w:rsid w:val="00FF7412"/>
    <w:rsid w:val="00FF751B"/>
    <w:rsid w:val="00FF7F36"/>
    <w:rsid w:val="1FADDF3C"/>
    <w:rsid w:val="4936379D"/>
    <w:rsid w:val="53DE34C5"/>
    <w:rsid w:val="5E9F58D4"/>
    <w:rsid w:val="706D25AA"/>
    <w:rsid w:val="7FEB27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iPriority="0" w:semiHidden="0" w:name="header"/>
    <w:lsdException w:qFormat="1" w:uiPriority="99" w:semiHidden="0" w:name="footer"/>
    <w:lsdException w:uiPriority="99" w:name="index heading"/>
    <w:lsdException w:qFormat="1" w:uiPriority="0" w:semiHidden="0" w:name="caption"/>
    <w:lsdException w:qFormat="1" w:uiPriority="99" w:semiHidden="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qFormat="1" w:unhideWhenUsed="0" w:uiPriority="0" w:semiHidden="0"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qFormat="1" w:unhideWhenUsed="0" w:uiPriority="99" w:semiHidden="0"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unhideWhenUsed="0" w:uiPriority="20" w:semiHidden="0" w:name="Emphasis"/>
    <w:lsdException w:qFormat="1" w:uiPriority="99"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Times New Roman" w:eastAsia="仿宋" w:cs="Times New Roman"/>
      <w:kern w:val="2"/>
      <w:sz w:val="32"/>
      <w:szCs w:val="28"/>
      <w:lang w:val="en-US" w:eastAsia="zh-CN" w:bidi="ar-SA"/>
    </w:rPr>
  </w:style>
  <w:style w:type="paragraph" w:styleId="2">
    <w:name w:val="heading 1"/>
    <w:basedOn w:val="3"/>
    <w:next w:val="4"/>
    <w:link w:val="48"/>
    <w:qFormat/>
    <w:uiPriority w:val="9"/>
    <w:pPr>
      <w:spacing w:before="160" w:line="360" w:lineRule="auto"/>
      <w:ind w:firstLine="0" w:firstLineChars="0"/>
      <w:outlineLvl w:val="0"/>
    </w:pPr>
    <w:rPr>
      <w:rFonts w:ascii="黑体" w:hAnsi="黑体" w:eastAsia="黑体"/>
      <w:b/>
      <w:szCs w:val="32"/>
    </w:rPr>
  </w:style>
  <w:style w:type="paragraph" w:styleId="5">
    <w:name w:val="heading 2"/>
    <w:basedOn w:val="2"/>
    <w:next w:val="4"/>
    <w:link w:val="49"/>
    <w:unhideWhenUsed/>
    <w:qFormat/>
    <w:uiPriority w:val="9"/>
    <w:pPr>
      <w:outlineLvl w:val="1"/>
    </w:pPr>
    <w:rPr>
      <w:rFonts w:ascii="宋体" w:hAnsi="宋体" w:eastAsia="宋体"/>
      <w:sz w:val="30"/>
      <w:szCs w:val="30"/>
    </w:rPr>
  </w:style>
  <w:style w:type="paragraph" w:styleId="6">
    <w:name w:val="heading 3"/>
    <w:basedOn w:val="7"/>
    <w:next w:val="4"/>
    <w:link w:val="50"/>
    <w:unhideWhenUsed/>
    <w:qFormat/>
    <w:uiPriority w:val="0"/>
    <w:pPr>
      <w:ind w:left="0"/>
    </w:pPr>
    <w:rPr>
      <w:rFonts w:eastAsia="仿宋"/>
      <w:szCs w:val="32"/>
    </w:rPr>
  </w:style>
  <w:style w:type="paragraph" w:styleId="9">
    <w:name w:val="heading 4"/>
    <w:basedOn w:val="1"/>
    <w:next w:val="1"/>
    <w:link w:val="51"/>
    <w:unhideWhenUsed/>
    <w:qFormat/>
    <w:uiPriority w:val="9"/>
    <w:pPr>
      <w:keepNext/>
      <w:keepLines/>
      <w:spacing w:before="280" w:after="290" w:line="376" w:lineRule="auto"/>
      <w:outlineLvl w:val="3"/>
    </w:pPr>
    <w:rPr>
      <w:rFonts w:asciiTheme="majorHAnsi" w:hAnsiTheme="majorHAnsi" w:eastAsiaTheme="majorEastAsia" w:cstheme="majorBidi"/>
      <w:b/>
      <w:bCs/>
    </w:rPr>
  </w:style>
  <w:style w:type="paragraph" w:styleId="10">
    <w:name w:val="heading 5"/>
    <w:basedOn w:val="1"/>
    <w:next w:val="1"/>
    <w:link w:val="52"/>
    <w:unhideWhenUsed/>
    <w:qFormat/>
    <w:uiPriority w:val="9"/>
    <w:pPr>
      <w:keepNext/>
      <w:keepLines/>
      <w:spacing w:before="280" w:after="290" w:line="376" w:lineRule="auto"/>
      <w:outlineLvl w:val="4"/>
    </w:pPr>
    <w:rPr>
      <w:rFonts w:ascii="Times New Roman" w:eastAsia="仿宋_GB2312"/>
      <w:b/>
      <w:bCs/>
    </w:rPr>
  </w:style>
  <w:style w:type="paragraph" w:styleId="11">
    <w:name w:val="heading 6"/>
    <w:basedOn w:val="1"/>
    <w:next w:val="1"/>
    <w:link w:val="53"/>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12">
    <w:name w:val="heading 7"/>
    <w:basedOn w:val="1"/>
    <w:next w:val="1"/>
    <w:link w:val="54"/>
    <w:unhideWhenUsed/>
    <w:qFormat/>
    <w:uiPriority w:val="9"/>
    <w:pPr>
      <w:keepNext/>
      <w:keepLines/>
      <w:spacing w:before="240" w:after="64" w:line="320" w:lineRule="auto"/>
      <w:outlineLvl w:val="6"/>
    </w:pPr>
    <w:rPr>
      <w:rFonts w:ascii="Times New Roman" w:eastAsia="仿宋_GB2312"/>
      <w:b/>
      <w:bCs/>
      <w:sz w:val="24"/>
      <w:szCs w:val="24"/>
    </w:rPr>
  </w:style>
  <w:style w:type="paragraph" w:styleId="13">
    <w:name w:val="heading 8"/>
    <w:basedOn w:val="1"/>
    <w:next w:val="1"/>
    <w:link w:val="55"/>
    <w:unhideWhenUsed/>
    <w:qFormat/>
    <w:uiPriority w:val="9"/>
    <w:pPr>
      <w:keepNext/>
      <w:keepLines/>
      <w:spacing w:before="240" w:after="64" w:line="320" w:lineRule="auto"/>
      <w:outlineLvl w:val="7"/>
    </w:pPr>
    <w:rPr>
      <w:rFonts w:asciiTheme="majorHAnsi" w:hAnsiTheme="majorHAnsi" w:eastAsiaTheme="majorEastAsia" w:cstheme="majorBidi"/>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3">
    <w:name w:val="List Paragraph"/>
    <w:basedOn w:val="1"/>
    <w:qFormat/>
    <w:uiPriority w:val="34"/>
    <w:pPr>
      <w:ind w:firstLine="420" w:firstLineChars="200"/>
    </w:pPr>
  </w:style>
  <w:style w:type="paragraph" w:customStyle="1" w:styleId="4">
    <w:name w:val="带缩进正文"/>
    <w:basedOn w:val="1"/>
    <w:qFormat/>
    <w:uiPriority w:val="0"/>
    <w:pPr>
      <w:ind w:firstLine="200" w:firstLineChars="200"/>
    </w:pPr>
  </w:style>
  <w:style w:type="paragraph" w:customStyle="1" w:styleId="7">
    <w:name w:val="标题3"/>
    <w:basedOn w:val="8"/>
    <w:next w:val="8"/>
    <w:qFormat/>
    <w:uiPriority w:val="0"/>
    <w:pPr>
      <w:spacing w:before="120" w:after="120"/>
      <w:ind w:left="1419" w:firstLine="0" w:firstLineChars="0"/>
      <w:outlineLvl w:val="2"/>
    </w:pPr>
    <w:rPr>
      <w:rFonts w:eastAsia="仿宋_GB2312"/>
      <w:b/>
    </w:rPr>
  </w:style>
  <w:style w:type="paragraph" w:customStyle="1" w:styleId="8">
    <w:name w:val="正正文"/>
    <w:basedOn w:val="1"/>
    <w:qFormat/>
    <w:uiPriority w:val="0"/>
    <w:pPr>
      <w:spacing w:line="360" w:lineRule="auto"/>
      <w:ind w:firstLine="200" w:firstLineChars="200"/>
    </w:pPr>
    <w:rPr>
      <w:szCs w:val="24"/>
    </w:rPr>
  </w:style>
  <w:style w:type="paragraph" w:styleId="14">
    <w:name w:val="toc 7"/>
    <w:basedOn w:val="1"/>
    <w:next w:val="1"/>
    <w:unhideWhenUsed/>
    <w:qFormat/>
    <w:uiPriority w:val="39"/>
    <w:pPr>
      <w:ind w:left="1920"/>
      <w:jc w:val="left"/>
    </w:pPr>
    <w:rPr>
      <w:rFonts w:asciiTheme="minorHAnsi" w:eastAsiaTheme="minorHAnsi"/>
      <w:sz w:val="18"/>
      <w:szCs w:val="18"/>
    </w:rPr>
  </w:style>
  <w:style w:type="paragraph" w:styleId="15">
    <w:name w:val="Normal Indent"/>
    <w:basedOn w:val="1"/>
    <w:link w:val="82"/>
    <w:qFormat/>
    <w:uiPriority w:val="0"/>
    <w:pPr>
      <w:adjustRightInd w:val="0"/>
      <w:snapToGrid w:val="0"/>
      <w:spacing w:line="360" w:lineRule="auto"/>
      <w:ind w:firstLine="560" w:firstLineChars="200"/>
    </w:pPr>
    <w:rPr>
      <w:rFonts w:ascii="Times New Roman" w:eastAsia="仿宋_GB2312"/>
    </w:rPr>
  </w:style>
  <w:style w:type="paragraph" w:styleId="16">
    <w:name w:val="caption"/>
    <w:basedOn w:val="1"/>
    <w:next w:val="1"/>
    <w:link w:val="79"/>
    <w:unhideWhenUsed/>
    <w:qFormat/>
    <w:uiPriority w:val="0"/>
    <w:pPr>
      <w:jc w:val="center"/>
    </w:pPr>
    <w:rPr>
      <w:rFonts w:eastAsia="黑体" w:asciiTheme="majorHAnsi" w:hAnsiTheme="majorHAnsi" w:cstheme="majorBidi"/>
      <w:sz w:val="24"/>
      <w:szCs w:val="20"/>
    </w:rPr>
  </w:style>
  <w:style w:type="paragraph" w:styleId="17">
    <w:name w:val="Document Map"/>
    <w:basedOn w:val="1"/>
    <w:link w:val="57"/>
    <w:unhideWhenUsed/>
    <w:qFormat/>
    <w:uiPriority w:val="99"/>
    <w:rPr>
      <w:rFonts w:ascii="Times New Roman" w:eastAsiaTheme="minorEastAsia"/>
      <w:sz w:val="24"/>
      <w:szCs w:val="24"/>
    </w:rPr>
  </w:style>
  <w:style w:type="paragraph" w:styleId="18">
    <w:name w:val="annotation text"/>
    <w:basedOn w:val="1"/>
    <w:link w:val="46"/>
    <w:qFormat/>
    <w:uiPriority w:val="99"/>
    <w:pPr>
      <w:jc w:val="left"/>
    </w:pPr>
    <w:rPr>
      <w:rFonts w:ascii="Times New Roman" w:eastAsiaTheme="minorEastAsia" w:cstheme="minorBidi"/>
      <w:szCs w:val="24"/>
    </w:rPr>
  </w:style>
  <w:style w:type="paragraph" w:styleId="19">
    <w:name w:val="Body Text 3"/>
    <w:next w:val="1"/>
    <w:link w:val="58"/>
    <w:qFormat/>
    <w:uiPriority w:val="99"/>
    <w:pPr>
      <w:keepNext/>
      <w:spacing w:afterLines="50"/>
      <w:jc w:val="center"/>
    </w:pPr>
    <w:rPr>
      <w:rFonts w:ascii="Times New Roman" w:hAnsi="Times New Roman" w:eastAsia="黑体" w:cs="Times New Roman"/>
      <w:kern w:val="2"/>
      <w:sz w:val="24"/>
      <w:szCs w:val="16"/>
      <w:lang w:val="en-US" w:eastAsia="zh-CN" w:bidi="ar-SA"/>
    </w:rPr>
  </w:style>
  <w:style w:type="paragraph" w:styleId="20">
    <w:name w:val="Body Text"/>
    <w:basedOn w:val="1"/>
    <w:link w:val="59"/>
    <w:unhideWhenUsed/>
    <w:qFormat/>
    <w:uiPriority w:val="99"/>
    <w:pPr>
      <w:spacing w:after="120"/>
    </w:pPr>
    <w:rPr>
      <w:rFonts w:ascii="Times New Roman" w:eastAsia="仿宋_GB2312"/>
      <w:szCs w:val="24"/>
    </w:rPr>
  </w:style>
  <w:style w:type="paragraph" w:styleId="21">
    <w:name w:val="List Bullet 2"/>
    <w:basedOn w:val="1"/>
    <w:qFormat/>
    <w:uiPriority w:val="0"/>
    <w:pPr>
      <w:tabs>
        <w:tab w:val="left" w:pos="0"/>
      </w:tabs>
      <w:autoSpaceDE w:val="0"/>
      <w:autoSpaceDN w:val="0"/>
      <w:adjustRightInd w:val="0"/>
      <w:snapToGrid w:val="0"/>
      <w:spacing w:line="360" w:lineRule="auto"/>
      <w:ind w:hanging="420" w:firstLineChars="200"/>
      <w:contextualSpacing/>
      <w:jc w:val="left"/>
    </w:pPr>
    <w:rPr>
      <w:rFonts w:ascii="Times New Roman" w:eastAsia="宋体" w:cstheme="minorBidi"/>
      <w:sz w:val="24"/>
      <w:szCs w:val="21"/>
    </w:rPr>
  </w:style>
  <w:style w:type="paragraph" w:styleId="22">
    <w:name w:val="toc 5"/>
    <w:basedOn w:val="1"/>
    <w:next w:val="1"/>
    <w:unhideWhenUsed/>
    <w:qFormat/>
    <w:uiPriority w:val="39"/>
    <w:pPr>
      <w:ind w:left="1280"/>
      <w:jc w:val="left"/>
    </w:pPr>
    <w:rPr>
      <w:rFonts w:asciiTheme="minorHAnsi" w:eastAsiaTheme="minorHAnsi"/>
      <w:sz w:val="18"/>
      <w:szCs w:val="18"/>
    </w:rPr>
  </w:style>
  <w:style w:type="paragraph" w:styleId="23">
    <w:name w:val="toc 3"/>
    <w:basedOn w:val="1"/>
    <w:next w:val="1"/>
    <w:unhideWhenUsed/>
    <w:qFormat/>
    <w:uiPriority w:val="39"/>
    <w:pPr>
      <w:ind w:left="640"/>
      <w:jc w:val="left"/>
    </w:pPr>
    <w:rPr>
      <w:rFonts w:asciiTheme="minorHAnsi" w:eastAsiaTheme="minorHAnsi"/>
      <w:i/>
      <w:iCs/>
      <w:sz w:val="20"/>
      <w:szCs w:val="20"/>
    </w:rPr>
  </w:style>
  <w:style w:type="paragraph" w:styleId="24">
    <w:name w:val="toc 8"/>
    <w:basedOn w:val="1"/>
    <w:next w:val="1"/>
    <w:unhideWhenUsed/>
    <w:qFormat/>
    <w:uiPriority w:val="39"/>
    <w:pPr>
      <w:ind w:left="2240"/>
      <w:jc w:val="left"/>
    </w:pPr>
    <w:rPr>
      <w:rFonts w:asciiTheme="minorHAnsi" w:eastAsiaTheme="minorHAnsi"/>
      <w:sz w:val="18"/>
      <w:szCs w:val="18"/>
    </w:rPr>
  </w:style>
  <w:style w:type="paragraph" w:styleId="25">
    <w:name w:val="Balloon Text"/>
    <w:basedOn w:val="1"/>
    <w:link w:val="47"/>
    <w:unhideWhenUsed/>
    <w:qFormat/>
    <w:uiPriority w:val="99"/>
    <w:rPr>
      <w:rFonts w:ascii="宋体" w:eastAsia="宋体"/>
      <w:sz w:val="18"/>
      <w:szCs w:val="18"/>
    </w:rPr>
  </w:style>
  <w:style w:type="paragraph" w:styleId="26">
    <w:name w:val="footer"/>
    <w:basedOn w:val="1"/>
    <w:link w:val="45"/>
    <w:unhideWhenUsed/>
    <w:qFormat/>
    <w:uiPriority w:val="99"/>
    <w:pPr>
      <w:tabs>
        <w:tab w:val="center" w:pos="4153"/>
        <w:tab w:val="right" w:pos="8306"/>
      </w:tabs>
      <w:snapToGrid w:val="0"/>
      <w:jc w:val="left"/>
    </w:pPr>
    <w:rPr>
      <w:sz w:val="18"/>
      <w:szCs w:val="18"/>
    </w:rPr>
  </w:style>
  <w:style w:type="paragraph" w:styleId="27">
    <w:name w:val="header"/>
    <w:basedOn w:val="1"/>
    <w:link w:val="44"/>
    <w:unhideWhenUsed/>
    <w:qFormat/>
    <w:uiPriority w:val="0"/>
    <w:pPr>
      <w:pBdr>
        <w:bottom w:val="single" w:color="auto" w:sz="6" w:space="1"/>
      </w:pBdr>
      <w:tabs>
        <w:tab w:val="center" w:pos="4153"/>
        <w:tab w:val="right" w:pos="8306"/>
      </w:tabs>
      <w:snapToGrid w:val="0"/>
      <w:jc w:val="center"/>
    </w:pPr>
    <w:rPr>
      <w:sz w:val="18"/>
      <w:szCs w:val="18"/>
    </w:rPr>
  </w:style>
  <w:style w:type="paragraph" w:styleId="28">
    <w:name w:val="toc 1"/>
    <w:basedOn w:val="1"/>
    <w:next w:val="1"/>
    <w:unhideWhenUsed/>
    <w:qFormat/>
    <w:uiPriority w:val="39"/>
    <w:pPr>
      <w:tabs>
        <w:tab w:val="right" w:leader="dot" w:pos="8290"/>
      </w:tabs>
      <w:spacing w:line="400" w:lineRule="exact"/>
      <w:jc w:val="left"/>
    </w:pPr>
    <w:rPr>
      <w:rFonts w:asciiTheme="minorHAnsi" w:eastAsiaTheme="minorHAnsi"/>
      <w:b/>
      <w:bCs/>
      <w:caps/>
      <w:sz w:val="20"/>
      <w:szCs w:val="20"/>
    </w:rPr>
  </w:style>
  <w:style w:type="paragraph" w:styleId="29">
    <w:name w:val="toc 4"/>
    <w:basedOn w:val="1"/>
    <w:next w:val="1"/>
    <w:unhideWhenUsed/>
    <w:qFormat/>
    <w:uiPriority w:val="39"/>
    <w:pPr>
      <w:ind w:left="960"/>
      <w:jc w:val="left"/>
    </w:pPr>
    <w:rPr>
      <w:rFonts w:asciiTheme="minorHAnsi" w:eastAsiaTheme="minorHAnsi"/>
      <w:sz w:val="18"/>
      <w:szCs w:val="18"/>
    </w:rPr>
  </w:style>
  <w:style w:type="paragraph" w:styleId="30">
    <w:name w:val="toc 6"/>
    <w:basedOn w:val="1"/>
    <w:next w:val="1"/>
    <w:unhideWhenUsed/>
    <w:qFormat/>
    <w:uiPriority w:val="39"/>
    <w:pPr>
      <w:ind w:left="1600"/>
      <w:jc w:val="left"/>
    </w:pPr>
    <w:rPr>
      <w:rFonts w:asciiTheme="minorHAnsi" w:eastAsiaTheme="minorHAnsi"/>
      <w:sz w:val="18"/>
      <w:szCs w:val="18"/>
    </w:rPr>
  </w:style>
  <w:style w:type="paragraph" w:styleId="31">
    <w:name w:val="table of figures"/>
    <w:basedOn w:val="1"/>
    <w:next w:val="1"/>
    <w:unhideWhenUsed/>
    <w:qFormat/>
    <w:uiPriority w:val="99"/>
    <w:pPr>
      <w:ind w:left="640" w:hanging="640"/>
      <w:jc w:val="left"/>
    </w:pPr>
    <w:rPr>
      <w:rFonts w:asciiTheme="minorHAnsi" w:eastAsiaTheme="minorHAnsi"/>
      <w:smallCaps/>
      <w:sz w:val="20"/>
      <w:szCs w:val="20"/>
    </w:rPr>
  </w:style>
  <w:style w:type="paragraph" w:styleId="32">
    <w:name w:val="toc 2"/>
    <w:basedOn w:val="1"/>
    <w:next w:val="1"/>
    <w:unhideWhenUsed/>
    <w:qFormat/>
    <w:uiPriority w:val="39"/>
    <w:pPr>
      <w:ind w:left="320"/>
      <w:jc w:val="left"/>
    </w:pPr>
    <w:rPr>
      <w:rFonts w:asciiTheme="minorHAnsi" w:eastAsiaTheme="minorHAnsi"/>
      <w:smallCaps/>
      <w:sz w:val="20"/>
      <w:szCs w:val="20"/>
    </w:rPr>
  </w:style>
  <w:style w:type="paragraph" w:styleId="33">
    <w:name w:val="toc 9"/>
    <w:basedOn w:val="1"/>
    <w:next w:val="1"/>
    <w:unhideWhenUsed/>
    <w:qFormat/>
    <w:uiPriority w:val="39"/>
    <w:pPr>
      <w:ind w:left="2560"/>
      <w:jc w:val="left"/>
    </w:pPr>
    <w:rPr>
      <w:rFonts w:asciiTheme="minorHAnsi" w:eastAsiaTheme="minorHAnsi"/>
      <w:sz w:val="18"/>
      <w:szCs w:val="18"/>
    </w:rPr>
  </w:style>
  <w:style w:type="paragraph" w:styleId="34">
    <w:name w:val="Normal (Web)"/>
    <w:basedOn w:val="1"/>
    <w:unhideWhenUsed/>
    <w:qFormat/>
    <w:uiPriority w:val="99"/>
    <w:pPr>
      <w:widowControl/>
      <w:spacing w:before="100" w:beforeAutospacing="1" w:after="100" w:afterAutospacing="1"/>
      <w:jc w:val="left"/>
    </w:pPr>
    <w:rPr>
      <w:rFonts w:ascii="宋体" w:hAnsi="宋体" w:eastAsia="仿宋_GB2312" w:cs="宋体"/>
      <w:kern w:val="0"/>
      <w:sz w:val="24"/>
      <w:szCs w:val="24"/>
    </w:rPr>
  </w:style>
  <w:style w:type="paragraph" w:styleId="35">
    <w:name w:val="annotation subject"/>
    <w:basedOn w:val="18"/>
    <w:next w:val="18"/>
    <w:link w:val="56"/>
    <w:unhideWhenUsed/>
    <w:qFormat/>
    <w:uiPriority w:val="99"/>
    <w:rPr>
      <w:rFonts w:eastAsia="宋体" w:cs="Times New Roman"/>
      <w:b/>
      <w:bCs/>
    </w:rPr>
  </w:style>
  <w:style w:type="table" w:styleId="37">
    <w:name w:val="Table Grid"/>
    <w:basedOn w:val="3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page number"/>
    <w:basedOn w:val="38"/>
    <w:semiHidden/>
    <w:unhideWhenUsed/>
    <w:qFormat/>
    <w:uiPriority w:val="99"/>
  </w:style>
  <w:style w:type="character" w:styleId="41">
    <w:name w:val="line number"/>
    <w:qFormat/>
    <w:uiPriority w:val="0"/>
  </w:style>
  <w:style w:type="character" w:styleId="42">
    <w:name w:val="Hyperlink"/>
    <w:basedOn w:val="38"/>
    <w:unhideWhenUsed/>
    <w:qFormat/>
    <w:uiPriority w:val="99"/>
    <w:rPr>
      <w:color w:val="0563C1" w:themeColor="hyperlink"/>
      <w:u w:val="single"/>
      <w14:textFill>
        <w14:solidFill>
          <w14:schemeClr w14:val="hlink"/>
        </w14:solidFill>
      </w14:textFill>
    </w:rPr>
  </w:style>
  <w:style w:type="character" w:styleId="43">
    <w:name w:val="annotation reference"/>
    <w:qFormat/>
    <w:uiPriority w:val="99"/>
    <w:rPr>
      <w:sz w:val="21"/>
      <w:szCs w:val="21"/>
    </w:rPr>
  </w:style>
  <w:style w:type="character" w:customStyle="1" w:styleId="44">
    <w:name w:val="页眉 Char"/>
    <w:basedOn w:val="38"/>
    <w:link w:val="27"/>
    <w:qFormat/>
    <w:uiPriority w:val="0"/>
    <w:rPr>
      <w:rFonts w:ascii="仿宋" w:hAnsi="Times New Roman" w:eastAsia="仿宋" w:cs="Times New Roman"/>
      <w:sz w:val="18"/>
      <w:szCs w:val="18"/>
    </w:rPr>
  </w:style>
  <w:style w:type="character" w:customStyle="1" w:styleId="45">
    <w:name w:val="页脚 Char"/>
    <w:basedOn w:val="38"/>
    <w:link w:val="26"/>
    <w:qFormat/>
    <w:uiPriority w:val="99"/>
    <w:rPr>
      <w:rFonts w:ascii="仿宋" w:hAnsi="Times New Roman" w:eastAsia="仿宋" w:cs="Times New Roman"/>
      <w:sz w:val="18"/>
      <w:szCs w:val="18"/>
    </w:rPr>
  </w:style>
  <w:style w:type="character" w:customStyle="1" w:styleId="46">
    <w:name w:val="批注文字 Char"/>
    <w:basedOn w:val="38"/>
    <w:link w:val="18"/>
    <w:qFormat/>
    <w:uiPriority w:val="99"/>
    <w:rPr>
      <w:rFonts w:ascii="Times New Roman" w:hAnsi="Times New Roman"/>
      <w:sz w:val="32"/>
    </w:rPr>
  </w:style>
  <w:style w:type="character" w:customStyle="1" w:styleId="47">
    <w:name w:val="批注框文本 Char"/>
    <w:basedOn w:val="38"/>
    <w:link w:val="25"/>
    <w:qFormat/>
    <w:uiPriority w:val="99"/>
    <w:rPr>
      <w:rFonts w:ascii="宋体" w:hAnsi="Times New Roman" w:eastAsia="宋体" w:cs="Times New Roman"/>
      <w:sz w:val="18"/>
      <w:szCs w:val="18"/>
    </w:rPr>
  </w:style>
  <w:style w:type="character" w:customStyle="1" w:styleId="48">
    <w:name w:val="标题 1 Char"/>
    <w:basedOn w:val="38"/>
    <w:link w:val="2"/>
    <w:qFormat/>
    <w:uiPriority w:val="0"/>
    <w:rPr>
      <w:rFonts w:ascii="黑体" w:hAnsi="黑体" w:eastAsia="黑体" w:cs="Times New Roman"/>
      <w:b/>
      <w:sz w:val="32"/>
      <w:szCs w:val="32"/>
    </w:rPr>
  </w:style>
  <w:style w:type="character" w:customStyle="1" w:styleId="49">
    <w:name w:val="标题 2 Char"/>
    <w:basedOn w:val="38"/>
    <w:link w:val="5"/>
    <w:qFormat/>
    <w:uiPriority w:val="9"/>
    <w:rPr>
      <w:rFonts w:ascii="宋体" w:hAnsi="宋体" w:eastAsia="宋体" w:cs="Times New Roman"/>
      <w:b/>
      <w:sz w:val="30"/>
      <w:szCs w:val="30"/>
    </w:rPr>
  </w:style>
  <w:style w:type="character" w:customStyle="1" w:styleId="50">
    <w:name w:val="标题 3 Char"/>
    <w:basedOn w:val="38"/>
    <w:link w:val="6"/>
    <w:qFormat/>
    <w:uiPriority w:val="0"/>
    <w:rPr>
      <w:rFonts w:ascii="仿宋" w:hAnsi="Times New Roman" w:eastAsia="仿宋" w:cs="Times New Roman"/>
      <w:b/>
      <w:sz w:val="32"/>
      <w:szCs w:val="32"/>
    </w:rPr>
  </w:style>
  <w:style w:type="character" w:customStyle="1" w:styleId="51">
    <w:name w:val="标题 4 Char"/>
    <w:basedOn w:val="38"/>
    <w:link w:val="9"/>
    <w:qFormat/>
    <w:uiPriority w:val="9"/>
    <w:rPr>
      <w:rFonts w:asciiTheme="majorHAnsi" w:hAnsiTheme="majorHAnsi" w:eastAsiaTheme="majorEastAsia" w:cstheme="majorBidi"/>
      <w:b/>
      <w:bCs/>
      <w:sz w:val="28"/>
      <w:szCs w:val="28"/>
    </w:rPr>
  </w:style>
  <w:style w:type="character" w:customStyle="1" w:styleId="52">
    <w:name w:val="标题 5 Char"/>
    <w:basedOn w:val="38"/>
    <w:link w:val="10"/>
    <w:qFormat/>
    <w:uiPriority w:val="9"/>
    <w:rPr>
      <w:rFonts w:ascii="Times New Roman" w:hAnsi="Times New Roman" w:eastAsia="仿宋_GB2312" w:cs="Times New Roman"/>
      <w:b/>
      <w:bCs/>
      <w:sz w:val="28"/>
      <w:szCs w:val="28"/>
    </w:rPr>
  </w:style>
  <w:style w:type="character" w:customStyle="1" w:styleId="53">
    <w:name w:val="标题 6 Char"/>
    <w:basedOn w:val="38"/>
    <w:link w:val="11"/>
    <w:qFormat/>
    <w:uiPriority w:val="9"/>
    <w:rPr>
      <w:rFonts w:asciiTheme="majorHAnsi" w:hAnsiTheme="majorHAnsi" w:eastAsiaTheme="majorEastAsia" w:cstheme="majorBidi"/>
      <w:b/>
      <w:bCs/>
      <w:sz w:val="24"/>
    </w:rPr>
  </w:style>
  <w:style w:type="character" w:customStyle="1" w:styleId="54">
    <w:name w:val="标题 7 Char"/>
    <w:basedOn w:val="38"/>
    <w:link w:val="12"/>
    <w:qFormat/>
    <w:uiPriority w:val="9"/>
    <w:rPr>
      <w:rFonts w:ascii="Times New Roman" w:hAnsi="Times New Roman" w:eastAsia="仿宋_GB2312" w:cs="Times New Roman"/>
      <w:b/>
      <w:bCs/>
      <w:sz w:val="24"/>
    </w:rPr>
  </w:style>
  <w:style w:type="character" w:customStyle="1" w:styleId="55">
    <w:name w:val="标题 8 Char"/>
    <w:basedOn w:val="38"/>
    <w:link w:val="13"/>
    <w:qFormat/>
    <w:uiPriority w:val="9"/>
    <w:rPr>
      <w:rFonts w:asciiTheme="majorHAnsi" w:hAnsiTheme="majorHAnsi" w:eastAsiaTheme="majorEastAsia" w:cstheme="majorBidi"/>
      <w:sz w:val="24"/>
    </w:rPr>
  </w:style>
  <w:style w:type="character" w:customStyle="1" w:styleId="56">
    <w:name w:val="批注主题 Char"/>
    <w:basedOn w:val="46"/>
    <w:link w:val="35"/>
    <w:qFormat/>
    <w:uiPriority w:val="99"/>
    <w:rPr>
      <w:rFonts w:ascii="Times New Roman" w:hAnsi="Times New Roman" w:eastAsia="宋体" w:cs="Times New Roman"/>
      <w:b/>
      <w:bCs/>
      <w:sz w:val="32"/>
    </w:rPr>
  </w:style>
  <w:style w:type="character" w:customStyle="1" w:styleId="57">
    <w:name w:val="文档结构图 Char"/>
    <w:basedOn w:val="38"/>
    <w:link w:val="17"/>
    <w:qFormat/>
    <w:uiPriority w:val="99"/>
    <w:rPr>
      <w:rFonts w:ascii="Times New Roman" w:hAnsi="Times New Roman" w:cs="Times New Roman"/>
      <w:sz w:val="24"/>
    </w:rPr>
  </w:style>
  <w:style w:type="character" w:customStyle="1" w:styleId="58">
    <w:name w:val="正文文本 3 Char"/>
    <w:basedOn w:val="38"/>
    <w:link w:val="19"/>
    <w:qFormat/>
    <w:uiPriority w:val="99"/>
    <w:rPr>
      <w:rFonts w:ascii="Times New Roman" w:hAnsi="Times New Roman" w:eastAsia="黑体" w:cs="Times New Roman"/>
      <w:sz w:val="24"/>
      <w:szCs w:val="16"/>
    </w:rPr>
  </w:style>
  <w:style w:type="character" w:customStyle="1" w:styleId="59">
    <w:name w:val="正文文本 Char"/>
    <w:basedOn w:val="38"/>
    <w:link w:val="20"/>
    <w:qFormat/>
    <w:uiPriority w:val="99"/>
    <w:rPr>
      <w:rFonts w:ascii="Times New Roman" w:hAnsi="Times New Roman" w:eastAsia="仿宋_GB2312" w:cs="Times New Roman"/>
      <w:sz w:val="32"/>
    </w:rPr>
  </w:style>
  <w:style w:type="paragraph" w:customStyle="1" w:styleId="60">
    <w:name w:val="列表段落1"/>
    <w:basedOn w:val="1"/>
    <w:link w:val="61"/>
    <w:qFormat/>
    <w:uiPriority w:val="34"/>
    <w:pPr>
      <w:ind w:firstLine="420" w:firstLineChars="200"/>
    </w:pPr>
    <w:rPr>
      <w:rFonts w:ascii="Times New Roman" w:eastAsia="仿宋_GB2312"/>
      <w:szCs w:val="24"/>
    </w:rPr>
  </w:style>
  <w:style w:type="character" w:customStyle="1" w:styleId="61">
    <w:name w:val="列表段落 字符"/>
    <w:link w:val="60"/>
    <w:qFormat/>
    <w:locked/>
    <w:uiPriority w:val="34"/>
    <w:rPr>
      <w:rFonts w:ascii="Times New Roman" w:hAnsi="Times New Roman" w:eastAsia="仿宋_GB2312" w:cs="Times New Roman"/>
      <w:sz w:val="32"/>
    </w:rPr>
  </w:style>
  <w:style w:type="paragraph" w:customStyle="1" w:styleId="62">
    <w:name w:val="列出段落1"/>
    <w:basedOn w:val="63"/>
    <w:qFormat/>
    <w:uiPriority w:val="34"/>
    <w:pPr>
      <w:ind w:firstLine="420" w:firstLineChars="200"/>
    </w:pPr>
    <w:rPr>
      <w:rFonts w:ascii="Calibri" w:hAnsi="Calibri"/>
      <w:szCs w:val="22"/>
    </w:rPr>
  </w:style>
  <w:style w:type="paragraph" w:customStyle="1" w:styleId="63">
    <w:name w:val="正常"/>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4">
    <w:name w:val="批注文字 Char1"/>
    <w:basedOn w:val="38"/>
    <w:semiHidden/>
    <w:qFormat/>
    <w:uiPriority w:val="99"/>
    <w:rPr>
      <w:rFonts w:ascii="Times New Roman" w:hAnsi="Times New Roman" w:eastAsia="宋体" w:cs="Times New Roman"/>
      <w:szCs w:val="24"/>
    </w:rPr>
  </w:style>
  <w:style w:type="paragraph" w:customStyle="1" w:styleId="65">
    <w:name w:val="图表居中"/>
    <w:basedOn w:val="8"/>
    <w:qFormat/>
    <w:uiPriority w:val="0"/>
    <w:pPr>
      <w:spacing w:before="60" w:after="60"/>
      <w:ind w:firstLine="0" w:firstLineChars="0"/>
      <w:jc w:val="center"/>
    </w:pPr>
  </w:style>
  <w:style w:type="paragraph" w:customStyle="1" w:styleId="66">
    <w:name w:val="图表标题"/>
    <w:basedOn w:val="65"/>
    <w:next w:val="8"/>
    <w:qFormat/>
    <w:uiPriority w:val="0"/>
    <w:pPr>
      <w:spacing w:before="0"/>
    </w:pPr>
    <w:rPr>
      <w:rFonts w:ascii="宋体" w:hAnsi="宋体" w:eastAsia="宋体"/>
      <w:b/>
      <w:sz w:val="21"/>
      <w:szCs w:val="21"/>
    </w:rPr>
  </w:style>
  <w:style w:type="paragraph" w:customStyle="1" w:styleId="67">
    <w:name w:val="正正正文"/>
    <w:basedOn w:val="1"/>
    <w:qFormat/>
    <w:uiPriority w:val="0"/>
    <w:pPr>
      <w:spacing w:line="360" w:lineRule="auto"/>
      <w:ind w:firstLine="200" w:firstLineChars="200"/>
      <w:contextualSpacing/>
    </w:pPr>
    <w:rPr>
      <w:rFonts w:hAnsi="宋体"/>
      <w:sz w:val="30"/>
      <w:szCs w:val="24"/>
    </w:rPr>
  </w:style>
  <w:style w:type="paragraph" w:customStyle="1" w:styleId="68">
    <w:name w:val="正正文--正文"/>
    <w:basedOn w:val="1"/>
    <w:qFormat/>
    <w:uiPriority w:val="0"/>
    <w:pPr>
      <w:spacing w:line="560" w:lineRule="exact"/>
      <w:ind w:firstLine="200" w:firstLineChars="200"/>
    </w:pPr>
    <w:rPr>
      <w:rFonts w:ascii="Arial" w:hAnsi="Arial"/>
    </w:rPr>
  </w:style>
  <w:style w:type="character" w:customStyle="1" w:styleId="69">
    <w:name w:val="sony12"/>
    <w:qFormat/>
    <w:uiPriority w:val="0"/>
  </w:style>
  <w:style w:type="paragraph" w:customStyle="1" w:styleId="70">
    <w:name w:val="图文文字"/>
    <w:basedOn w:val="1"/>
    <w:qFormat/>
    <w:uiPriority w:val="99"/>
    <w:pPr>
      <w:numPr>
        <w:ilvl w:val="0"/>
        <w:numId w:val="1"/>
      </w:numPr>
      <w:spacing w:line="240" w:lineRule="exact"/>
      <w:ind w:left="0" w:firstLine="0"/>
      <w:jc w:val="center"/>
    </w:pPr>
    <w:rPr>
      <w:rFonts w:ascii="Times New Roman" w:eastAsia="仿宋_GB2312"/>
      <w:sz w:val="24"/>
      <w:szCs w:val="24"/>
    </w:rPr>
  </w:style>
  <w:style w:type="character" w:customStyle="1" w:styleId="71">
    <w:name w:val="txt6"/>
    <w:qFormat/>
    <w:uiPriority w:val="0"/>
    <w:rPr>
      <w:color w:val="999999"/>
    </w:rPr>
  </w:style>
  <w:style w:type="paragraph" w:customStyle="1" w:styleId="72">
    <w:name w:val="正文内容"/>
    <w:basedOn w:val="1"/>
    <w:link w:val="73"/>
    <w:qFormat/>
    <w:uiPriority w:val="0"/>
    <w:pPr>
      <w:spacing w:line="360" w:lineRule="auto"/>
      <w:ind w:firstLine="480"/>
    </w:pPr>
    <w:rPr>
      <w:rFonts w:ascii="Times New Roman" w:eastAsia="仿宋_GB2312"/>
      <w:kern w:val="0"/>
      <w:sz w:val="24"/>
      <w:szCs w:val="24"/>
    </w:rPr>
  </w:style>
  <w:style w:type="character" w:customStyle="1" w:styleId="73">
    <w:name w:val="正文内容 Char"/>
    <w:link w:val="72"/>
    <w:qFormat/>
    <w:uiPriority w:val="0"/>
    <w:rPr>
      <w:rFonts w:ascii="Times New Roman" w:hAnsi="Times New Roman" w:eastAsia="仿宋_GB2312" w:cs="Times New Roman"/>
      <w:kern w:val="0"/>
      <w:sz w:val="24"/>
    </w:rPr>
  </w:style>
  <w:style w:type="paragraph" w:customStyle="1" w:styleId="74">
    <w:name w:val="表内文字居左"/>
    <w:basedOn w:val="1"/>
    <w:qFormat/>
    <w:uiPriority w:val="0"/>
    <w:rPr>
      <w:rFonts w:ascii="宋体" w:hAnsi="宋体" w:eastAsia="宋体"/>
      <w:sz w:val="24"/>
      <w:szCs w:val="24"/>
    </w:rPr>
  </w:style>
  <w:style w:type="paragraph" w:customStyle="1" w:styleId="75">
    <w:name w:val="图表中文字"/>
    <w:basedOn w:val="65"/>
    <w:qFormat/>
    <w:uiPriority w:val="0"/>
    <w:pPr>
      <w:spacing w:before="0" w:after="0" w:line="240" w:lineRule="auto"/>
      <w:jc w:val="both"/>
    </w:pPr>
    <w:rPr>
      <w:rFonts w:ascii="Times New Roman"/>
      <w:sz w:val="24"/>
    </w:rPr>
  </w:style>
  <w:style w:type="paragraph" w:customStyle="1" w:styleId="76">
    <w:name w:val="插图居中"/>
    <w:next w:val="1"/>
    <w:qFormat/>
    <w:uiPriority w:val="0"/>
    <w:pPr>
      <w:spacing w:beforeLines="50" w:afterLines="50" w:line="360" w:lineRule="auto"/>
      <w:jc w:val="center"/>
    </w:pPr>
    <w:rPr>
      <w:rFonts w:ascii="Times New Roman" w:hAnsi="Times New Roman" w:eastAsia="宋体" w:cs="Times New Roman"/>
      <w:kern w:val="2"/>
      <w:sz w:val="24"/>
      <w:szCs w:val="24"/>
      <w:lang w:val="en-US" w:eastAsia="zh-CN" w:bidi="ar-SA"/>
    </w:rPr>
  </w:style>
  <w:style w:type="character" w:customStyle="1" w:styleId="77">
    <w:name w:val="标书正文:  0.74 厘米 Char Char"/>
    <w:link w:val="78"/>
    <w:qFormat/>
    <w:uiPriority w:val="0"/>
    <w:rPr>
      <w:rFonts w:cs="宋体"/>
      <w:sz w:val="24"/>
    </w:rPr>
  </w:style>
  <w:style w:type="paragraph" w:customStyle="1" w:styleId="78">
    <w:name w:val="标书正文:  0.74 厘米"/>
    <w:basedOn w:val="1"/>
    <w:link w:val="77"/>
    <w:qFormat/>
    <w:uiPriority w:val="0"/>
    <w:pPr>
      <w:snapToGrid w:val="0"/>
      <w:spacing w:line="360" w:lineRule="auto"/>
      <w:ind w:firstLine="420"/>
    </w:pPr>
    <w:rPr>
      <w:rFonts w:cs="宋体" w:asciiTheme="minorHAnsi" w:hAnsiTheme="minorHAnsi" w:eastAsiaTheme="minorEastAsia"/>
      <w:sz w:val="24"/>
      <w:szCs w:val="24"/>
    </w:rPr>
  </w:style>
  <w:style w:type="character" w:customStyle="1" w:styleId="79">
    <w:name w:val="题注 Char"/>
    <w:link w:val="16"/>
    <w:qFormat/>
    <w:uiPriority w:val="0"/>
    <w:rPr>
      <w:rFonts w:eastAsia="黑体" w:asciiTheme="majorHAnsi" w:hAnsiTheme="majorHAnsi" w:cstheme="majorBidi"/>
      <w:sz w:val="24"/>
      <w:szCs w:val="20"/>
    </w:rPr>
  </w:style>
  <w:style w:type="paragraph" w:customStyle="1" w:styleId="80">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81">
    <w:name w:val="小标题B级"/>
    <w:basedOn w:val="1"/>
    <w:qFormat/>
    <w:uiPriority w:val="0"/>
    <w:pPr>
      <w:spacing w:line="360" w:lineRule="auto"/>
      <w:ind w:left="420" w:hanging="136"/>
    </w:pPr>
    <w:rPr>
      <w:rFonts w:ascii="Times New Roman" w:eastAsia="仿宋_GB2312"/>
      <w:szCs w:val="22"/>
    </w:rPr>
  </w:style>
  <w:style w:type="character" w:customStyle="1" w:styleId="82">
    <w:name w:val="正文缩进 Char"/>
    <w:link w:val="15"/>
    <w:qFormat/>
    <w:uiPriority w:val="0"/>
    <w:rPr>
      <w:rFonts w:ascii="Times New Roman" w:hAnsi="Times New Roman" w:eastAsia="仿宋_GB2312" w:cs="Times New Roman"/>
      <w:sz w:val="28"/>
      <w:szCs w:val="28"/>
    </w:rPr>
  </w:style>
  <w:style w:type="character" w:customStyle="1" w:styleId="83">
    <w:name w:val="￥正文 Char"/>
    <w:link w:val="84"/>
    <w:qFormat/>
    <w:uiPriority w:val="0"/>
    <w:rPr>
      <w:rFonts w:ascii="Calibri" w:hAnsi="Calibri" w:eastAsia="宋体" w:cs="Times New Roman"/>
      <w:color w:val="000000"/>
      <w:sz w:val="24"/>
    </w:rPr>
  </w:style>
  <w:style w:type="paragraph" w:customStyle="1" w:styleId="84">
    <w:name w:val="￥正文"/>
    <w:basedOn w:val="1"/>
    <w:link w:val="83"/>
    <w:qFormat/>
    <w:uiPriority w:val="0"/>
    <w:pPr>
      <w:spacing w:line="360" w:lineRule="auto"/>
      <w:ind w:firstLine="200" w:firstLineChars="200"/>
    </w:pPr>
    <w:rPr>
      <w:rFonts w:ascii="Calibri" w:hAnsi="Calibri" w:eastAsia="宋体"/>
      <w:color w:val="000000"/>
      <w:sz w:val="24"/>
      <w:szCs w:val="24"/>
    </w:rPr>
  </w:style>
  <w:style w:type="character" w:customStyle="1" w:styleId="85">
    <w:name w:val="批注主题 字符1"/>
    <w:semiHidden/>
    <w:qFormat/>
    <w:locked/>
    <w:uiPriority w:val="99"/>
    <w:rPr>
      <w:b/>
      <w:bCs/>
      <w:kern w:val="2"/>
      <w:sz w:val="21"/>
      <w:szCs w:val="22"/>
    </w:rPr>
  </w:style>
  <w:style w:type="paragraph" w:customStyle="1" w:styleId="86">
    <w:name w:val="AAA正文"/>
    <w:basedOn w:val="1"/>
    <w:qFormat/>
    <w:uiPriority w:val="0"/>
    <w:pPr>
      <w:adjustRightInd w:val="0"/>
      <w:ind w:firstLine="812" w:firstLineChars="200"/>
    </w:pPr>
    <w:rPr>
      <w:rFonts w:ascii="Calibri" w:hAnsi="Calibri" w:eastAsiaTheme="minorEastAsia" w:cstheme="minorBidi"/>
      <w:kern w:val="0"/>
      <w:sz w:val="20"/>
      <w:szCs w:val="20"/>
    </w:rPr>
  </w:style>
  <w:style w:type="paragraph" w:customStyle="1" w:styleId="87">
    <w:name w:val="AAA公文二级标题"/>
    <w:qFormat/>
    <w:uiPriority w:val="0"/>
    <w:pPr>
      <w:ind w:firstLine="628" w:firstLineChars="200"/>
      <w:outlineLvl w:val="1"/>
    </w:pPr>
    <w:rPr>
      <w:rFonts w:ascii="楷体" w:hAnsi="楷体" w:eastAsia="楷体" w:cs="Times New Roman"/>
      <w:sz w:val="32"/>
      <w:lang w:val="en-US" w:eastAsia="zh-CN" w:bidi="ar-SA"/>
    </w:rPr>
  </w:style>
  <w:style w:type="character" w:customStyle="1" w:styleId="88">
    <w:name w:val="AAA公文三级标题 Char"/>
    <w:link w:val="89"/>
    <w:qFormat/>
    <w:uiPriority w:val="0"/>
    <w:rPr>
      <w:rFonts w:ascii="仿宋" w:hAnsi="仿宋" w:eastAsia="仿宋"/>
      <w:b/>
      <w:sz w:val="32"/>
    </w:rPr>
  </w:style>
  <w:style w:type="paragraph" w:customStyle="1" w:styleId="89">
    <w:name w:val="AAA公文三级标题"/>
    <w:next w:val="86"/>
    <w:link w:val="88"/>
    <w:qFormat/>
    <w:uiPriority w:val="0"/>
    <w:pPr>
      <w:ind w:firstLine="628" w:firstLineChars="200"/>
      <w:outlineLvl w:val="2"/>
    </w:pPr>
    <w:rPr>
      <w:rFonts w:ascii="仿宋" w:hAnsi="仿宋" w:eastAsia="仿宋" w:cstheme="minorBidi"/>
      <w:b/>
      <w:kern w:val="2"/>
      <w:sz w:val="32"/>
      <w:szCs w:val="24"/>
      <w:lang w:val="en-US" w:eastAsia="zh-CN" w:bidi="ar-SA"/>
    </w:rPr>
  </w:style>
  <w:style w:type="table" w:customStyle="1" w:styleId="90">
    <w:name w:val="网格型1"/>
    <w:basedOn w:val="3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1">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92">
    <w:name w:val="标题 1（绿盟科技）"/>
    <w:basedOn w:val="2"/>
    <w:next w:val="1"/>
    <w:qFormat/>
    <w:uiPriority w:val="0"/>
    <w:pPr>
      <w:keepNext/>
      <w:keepLines/>
      <w:numPr>
        <w:ilvl w:val="0"/>
        <w:numId w:val="2"/>
      </w:numPr>
      <w:pBdr>
        <w:bottom w:val="single" w:color="auto" w:sz="48" w:space="1"/>
      </w:pBdr>
      <w:tabs>
        <w:tab w:val="left" w:pos="432"/>
      </w:tabs>
      <w:spacing w:after="330" w:line="576" w:lineRule="auto"/>
      <w:jc w:val="left"/>
    </w:pPr>
    <w:rPr>
      <w:rFonts w:ascii="Arial" w:hAnsi="Arial"/>
      <w:bCs/>
      <w:kern w:val="44"/>
      <w:sz w:val="44"/>
      <w:szCs w:val="44"/>
    </w:rPr>
  </w:style>
  <w:style w:type="paragraph" w:customStyle="1" w:styleId="93">
    <w:name w:val="标题 2（绿盟科技）"/>
    <w:basedOn w:val="5"/>
    <w:next w:val="1"/>
    <w:qFormat/>
    <w:uiPriority w:val="0"/>
    <w:pPr>
      <w:keepNext/>
      <w:keepLines/>
      <w:tabs>
        <w:tab w:val="left" w:pos="576"/>
      </w:tabs>
      <w:spacing w:before="260" w:after="260" w:line="415" w:lineRule="auto"/>
      <w:ind w:left="907" w:hanging="907"/>
      <w:jc w:val="left"/>
    </w:pPr>
    <w:rPr>
      <w:rFonts w:ascii="Arial" w:hAnsi="Arial" w:eastAsia="黑体"/>
    </w:rPr>
  </w:style>
  <w:style w:type="paragraph" w:customStyle="1" w:styleId="94">
    <w:name w:val="标题 3（绿盟科技）"/>
    <w:basedOn w:val="6"/>
    <w:next w:val="1"/>
    <w:qFormat/>
    <w:uiPriority w:val="0"/>
    <w:pPr>
      <w:keepNext/>
      <w:keepLines/>
      <w:tabs>
        <w:tab w:val="left" w:pos="720"/>
        <w:tab w:val="left" w:pos="960"/>
      </w:tabs>
      <w:spacing w:beforeLines="50" w:afterLines="50" w:line="415" w:lineRule="auto"/>
      <w:ind w:left="907" w:hanging="907"/>
      <w:jc w:val="left"/>
    </w:pPr>
    <w:rPr>
      <w:rFonts w:ascii="Arial" w:hAnsi="Arial" w:eastAsia="黑体"/>
      <w:kern w:val="0"/>
      <w:sz w:val="30"/>
      <w:szCs w:val="30"/>
    </w:rPr>
  </w:style>
  <w:style w:type="paragraph" w:customStyle="1" w:styleId="95">
    <w:name w:val="标题 4（绿盟科技）"/>
    <w:basedOn w:val="9"/>
    <w:next w:val="1"/>
    <w:qFormat/>
    <w:uiPriority w:val="0"/>
    <w:pPr>
      <w:widowControl/>
      <w:numPr>
        <w:ilvl w:val="3"/>
        <w:numId w:val="2"/>
      </w:numPr>
      <w:spacing w:before="0" w:after="156"/>
      <w:jc w:val="left"/>
    </w:pPr>
    <w:rPr>
      <w:rFonts w:ascii="Arial" w:hAnsi="Arial" w:eastAsia="黑体" w:cs="Times New Roman"/>
      <w:bCs w:val="0"/>
      <w:kern w:val="0"/>
      <w:sz w:val="24"/>
      <w:szCs w:val="24"/>
    </w:rPr>
  </w:style>
  <w:style w:type="paragraph" w:customStyle="1" w:styleId="96">
    <w:name w:val="标题 5（有编号）（绿盟科技）"/>
    <w:basedOn w:val="1"/>
    <w:next w:val="1"/>
    <w:qFormat/>
    <w:uiPriority w:val="0"/>
    <w:pPr>
      <w:keepNext/>
      <w:keepLines/>
      <w:numPr>
        <w:ilvl w:val="4"/>
        <w:numId w:val="2"/>
      </w:numPr>
      <w:spacing w:before="280" w:after="156" w:line="377" w:lineRule="auto"/>
      <w:jc w:val="left"/>
      <w:outlineLvl w:val="4"/>
    </w:pPr>
    <w:rPr>
      <w:rFonts w:ascii="Arial" w:hAnsi="Arial" w:eastAsia="黑体"/>
      <w:b/>
      <w:kern w:val="0"/>
      <w:sz w:val="24"/>
    </w:rPr>
  </w:style>
  <w:style w:type="paragraph" w:customStyle="1" w:styleId="97">
    <w:name w:val="标题 6（有编号）（绿盟科技）"/>
    <w:basedOn w:val="1"/>
    <w:next w:val="1"/>
    <w:qFormat/>
    <w:uiPriority w:val="0"/>
    <w:pPr>
      <w:keepNext/>
      <w:keepLines/>
      <w:numPr>
        <w:ilvl w:val="5"/>
        <w:numId w:val="2"/>
      </w:numPr>
      <w:spacing w:before="240" w:after="64" w:line="319" w:lineRule="auto"/>
      <w:jc w:val="left"/>
      <w:outlineLvl w:val="5"/>
    </w:pPr>
    <w:rPr>
      <w:rFonts w:ascii="Arial" w:hAnsi="Arial" w:eastAsia="黑体"/>
      <w:b/>
      <w:kern w:val="0"/>
      <w:sz w:val="21"/>
      <w:szCs w:val="24"/>
    </w:rPr>
  </w:style>
  <w:style w:type="paragraph" w:customStyle="1" w:styleId="98">
    <w:name w:val="插图标注（绿盟科技）"/>
    <w:next w:val="1"/>
    <w:qFormat/>
    <w:uiPriority w:val="0"/>
    <w:pPr>
      <w:numPr>
        <w:ilvl w:val="6"/>
        <w:numId w:val="2"/>
      </w:numPr>
      <w:spacing w:after="156"/>
      <w:jc w:val="center"/>
    </w:pPr>
    <w:rPr>
      <w:rFonts w:ascii="Arial" w:hAnsi="Arial" w:eastAsia="宋体" w:cs="Arial"/>
      <w:sz w:val="21"/>
      <w:szCs w:val="21"/>
      <w:lang w:val="en-US" w:eastAsia="zh-CN" w:bidi="ar-SA"/>
    </w:rPr>
  </w:style>
  <w:style w:type="paragraph" w:customStyle="1" w:styleId="99">
    <w:name w:val="表格标注（绿盟科技）"/>
    <w:basedOn w:val="98"/>
    <w:next w:val="1"/>
    <w:qFormat/>
    <w:uiPriority w:val="0"/>
    <w:pPr>
      <w:numPr>
        <w:ilvl w:val="7"/>
      </w:numPr>
    </w:pPr>
  </w:style>
  <w:style w:type="paragraph" w:customStyle="1" w:styleId="100">
    <w:name w:val="投标文件-正文"/>
    <w:link w:val="101"/>
    <w:qFormat/>
    <w:uiPriority w:val="0"/>
    <w:pPr>
      <w:spacing w:line="360" w:lineRule="auto"/>
      <w:ind w:firstLine="200" w:firstLineChars="200"/>
    </w:pPr>
    <w:rPr>
      <w:rFonts w:ascii="宋体" w:hAnsi="宋体" w:eastAsia="宋体" w:cs="Times New Roman"/>
      <w:kern w:val="2"/>
      <w:sz w:val="24"/>
      <w:szCs w:val="22"/>
      <w:lang w:val="en-US" w:eastAsia="zh-CN" w:bidi="ar-SA"/>
    </w:rPr>
  </w:style>
  <w:style w:type="character" w:customStyle="1" w:styleId="101">
    <w:name w:val="投标文件-正文 字符"/>
    <w:link w:val="100"/>
    <w:qFormat/>
    <w:uiPriority w:val="0"/>
    <w:rPr>
      <w:rFonts w:ascii="宋体" w:hAnsi="宋体" w:eastAsia="宋体" w:cs="Times New Roman"/>
      <w:sz w:val="24"/>
      <w:szCs w:val="22"/>
    </w:rPr>
  </w:style>
  <w:style w:type="character" w:customStyle="1" w:styleId="102">
    <w:name w:val="章标题 Char"/>
    <w:link w:val="103"/>
    <w:qFormat/>
    <w:uiPriority w:val="0"/>
    <w:rPr>
      <w:rFonts w:ascii="黑体" w:eastAsia="黑体"/>
    </w:rPr>
  </w:style>
  <w:style w:type="paragraph" w:customStyle="1" w:styleId="103">
    <w:name w:val="章标题"/>
    <w:next w:val="1"/>
    <w:link w:val="102"/>
    <w:qFormat/>
    <w:uiPriority w:val="0"/>
    <w:pPr>
      <w:spacing w:before="312" w:beforeLines="100" w:after="312" w:afterLines="100"/>
      <w:ind w:left="420" w:hanging="136"/>
      <w:jc w:val="both"/>
      <w:outlineLvl w:val="1"/>
    </w:pPr>
    <w:rPr>
      <w:rFonts w:ascii="黑体" w:eastAsia="黑体" w:hAnsiTheme="minorHAnsi" w:cstheme="minorBidi"/>
      <w:kern w:val="2"/>
      <w:sz w:val="21"/>
      <w:szCs w:val="24"/>
      <w:lang w:val="en-US" w:eastAsia="zh-CN" w:bidi="ar-SA"/>
    </w:rPr>
  </w:style>
  <w:style w:type="paragraph" w:customStyle="1" w:styleId="104">
    <w:name w:val="列出段落2"/>
    <w:basedOn w:val="1"/>
    <w:qFormat/>
    <w:uiPriority w:val="99"/>
    <w:pPr>
      <w:ind w:firstLine="420" w:firstLineChars="200"/>
    </w:pPr>
    <w:rPr>
      <w:rFonts w:ascii="Times New Roman" w:eastAsia="仿宋_GB2312"/>
      <w:szCs w:val="24"/>
    </w:rPr>
  </w:style>
  <w:style w:type="paragraph" w:customStyle="1" w:styleId="105">
    <w:name w:val="正文Z"/>
    <w:basedOn w:val="1"/>
    <w:qFormat/>
    <w:uiPriority w:val="0"/>
    <w:pPr>
      <w:pBdr>
        <w:top w:val="none" w:color="FFFFFF" w:sz="0" w:space="31"/>
        <w:left w:val="none" w:color="FFFFFF" w:sz="0" w:space="31"/>
        <w:bottom w:val="none" w:color="FFFFFF" w:sz="0" w:space="31"/>
        <w:right w:val="none" w:color="FFFFFF" w:sz="0" w:space="31"/>
      </w:pBdr>
      <w:spacing w:line="600" w:lineRule="exact"/>
      <w:ind w:firstLine="640" w:firstLineChars="200"/>
    </w:pPr>
    <w:rPr>
      <w:rFonts w:ascii="方正仿宋_GBK" w:hAnsi="仿宋" w:eastAsia="方正仿宋_GBK" w:cs="仿宋"/>
      <w:color w:val="000000"/>
      <w:szCs w:val="32"/>
      <w:u w:color="000000"/>
      <w:lang w:val="zh-TW" w:eastAsia="zh-TW"/>
    </w:rPr>
  </w:style>
  <w:style w:type="paragraph" w:customStyle="1" w:styleId="106">
    <w:name w:val="图内文字5号居左"/>
    <w:qFormat/>
    <w:uiPriority w:val="0"/>
    <w:rPr>
      <w:rFonts w:ascii="Times New Roman" w:hAnsi="Times New Roman" w:eastAsia="宋体" w:cs="Times New Roman"/>
      <w:kern w:val="2"/>
      <w:sz w:val="18"/>
      <w:szCs w:val="24"/>
      <w:lang w:val="en-US" w:eastAsia="zh-CN" w:bidi="ar-SA"/>
    </w:rPr>
  </w:style>
  <w:style w:type="paragraph" w:customStyle="1" w:styleId="107">
    <w:name w:val="修订3"/>
    <w:hidden/>
    <w:semiHidden/>
    <w:qFormat/>
    <w:uiPriority w:val="99"/>
    <w:rPr>
      <w:rFonts w:ascii="仿宋" w:hAnsi="Times New Roman" w:eastAsia="仿宋" w:cs="Times New Roman"/>
      <w:kern w:val="2"/>
      <w:sz w:val="32"/>
      <w:szCs w:val="28"/>
      <w:lang w:val="en-US" w:eastAsia="zh-CN" w:bidi="ar-SA"/>
    </w:rPr>
  </w:style>
  <w:style w:type="table" w:customStyle="1" w:styleId="108">
    <w:name w:val="Table Normal"/>
    <w:unhideWhenUsed/>
    <w:qFormat/>
    <w:uiPriority w:val="0"/>
    <w:pPr>
      <w:widowControl w:val="0"/>
    </w:pPr>
    <w:rPr>
      <w:rFonts w:ascii="Calibri" w:hAnsi="Calibri" w:eastAsia="宋体" w:cs="Times New Roman"/>
      <w:sz w:val="22"/>
      <w:szCs w:val="22"/>
      <w:lang w:eastAsia="en-US"/>
    </w:rPr>
    <w:tblPr>
      <w:tblCellMar>
        <w:top w:w="0" w:type="dxa"/>
        <w:left w:w="0" w:type="dxa"/>
        <w:bottom w:w="0" w:type="dxa"/>
        <w:right w:w="0" w:type="dxa"/>
      </w:tblCellMar>
    </w:tblPr>
  </w:style>
  <w:style w:type="paragraph" w:customStyle="1" w:styleId="109">
    <w:name w:val="Char Char Char1 Char"/>
    <w:basedOn w:val="1"/>
    <w:semiHidden/>
    <w:qFormat/>
    <w:uiPriority w:val="0"/>
    <w:pPr>
      <w:spacing w:line="360" w:lineRule="auto"/>
      <w:ind w:firstLine="200" w:firstLineChars="200"/>
    </w:pPr>
    <w:rPr>
      <w:rFonts w:ascii="宋体" w:hAnsi="宋体" w:eastAsia="宋体" w:cs="宋体"/>
      <w:sz w:val="24"/>
      <w:szCs w:val="24"/>
    </w:rPr>
  </w:style>
  <w:style w:type="character" w:customStyle="1" w:styleId="110">
    <w:name w:val="未处理的提及1"/>
    <w:basedOn w:val="38"/>
    <w:semiHidden/>
    <w:unhideWhenUsed/>
    <w:qFormat/>
    <w:uiPriority w:val="99"/>
    <w:rPr>
      <w:color w:val="605E5C"/>
      <w:shd w:val="clear" w:color="auto" w:fill="E1DFDD"/>
    </w:rPr>
  </w:style>
  <w:style w:type="character" w:customStyle="1" w:styleId="111">
    <w:name w:val="未处理的提及2"/>
    <w:basedOn w:val="3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50</Pages>
  <Words>25112</Words>
  <Characters>6787</Characters>
  <Lines>56</Lines>
  <Paragraphs>63</Paragraphs>
  <TotalTime>0</TotalTime>
  <ScaleCrop>false</ScaleCrop>
  <LinksUpToDate>false</LinksUpToDate>
  <CharactersWithSpaces>31836</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2021-12-09T14:21:00Z</dcterms:created>
  <dc:creator>刘 子瑞</dc:creator>
  <cp:lastModifiedBy>user</cp:lastModifiedBy>
  <cp:lastPrinted>2021-12-03T18:17:00Z</cp:lastPrinted>
  <dcterms:modified xsi:type="dcterms:W3CDTF">2023-06-07T14:54:24Z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