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rPr>
          <w:rStyle w:val="4"/>
          <w:rFonts w:hint="eastAsia" w:ascii="Times New Roman" w:hAnsi="Times New Roman" w:eastAsia="方正小标宋_GBK" w:cs="Times New Roman"/>
          <w:bCs/>
          <w:sz w:val="40"/>
          <w:szCs w:val="44"/>
          <w:lang w:val="en-US" w:eastAsia="zh-CN"/>
        </w:rPr>
      </w:pPr>
    </w:p>
    <w:p>
      <w:pPr>
        <w:numPr>
          <w:ilvl w:val="0"/>
          <w:numId w:val="0"/>
        </w:numPr>
        <w:jc w:val="center"/>
        <w:rPr>
          <w:rStyle w:val="4"/>
          <w:rFonts w:hint="eastAsia" w:ascii="Times New Roman" w:hAnsi="Times New Roman" w:eastAsia="方正小标宋_GBK" w:cs="Times New Roman"/>
          <w:bCs/>
          <w:sz w:val="40"/>
          <w:szCs w:val="44"/>
          <w:lang w:val="en-US" w:eastAsia="zh-CN"/>
        </w:rPr>
      </w:pPr>
      <w:r>
        <w:rPr>
          <w:rStyle w:val="4"/>
          <w:rFonts w:hint="eastAsia" w:ascii="Times New Roman" w:hAnsi="Times New Roman" w:eastAsia="方正小标宋_GBK" w:cs="Times New Roman"/>
          <w:bCs/>
          <w:sz w:val="40"/>
          <w:szCs w:val="44"/>
          <w:lang w:val="en-US" w:eastAsia="zh-CN"/>
        </w:rPr>
        <w:t>两江</w:t>
      </w:r>
      <w:r>
        <w:rPr>
          <w:rStyle w:val="4"/>
          <w:rFonts w:hint="eastAsia" w:ascii="Times New Roman" w:hAnsi="Times New Roman" w:eastAsia="方正小标宋_GBK" w:cs="Times New Roman"/>
          <w:bCs/>
          <w:sz w:val="40"/>
          <w:szCs w:val="44"/>
          <w:lang w:val="en-US" w:eastAsia="zh-CN"/>
        </w:rPr>
        <w:t>新区</w:t>
      </w:r>
      <w:r>
        <w:rPr>
          <w:rStyle w:val="4"/>
          <w:rFonts w:hint="eastAsia" w:ascii="Times New Roman" w:hAnsi="Times New Roman" w:eastAsia="方正小标宋_GBK" w:cs="Times New Roman"/>
          <w:bCs/>
          <w:sz w:val="40"/>
          <w:szCs w:val="44"/>
          <w:lang w:val="en-US" w:eastAsia="zh-CN"/>
        </w:rPr>
        <w:t>促进就业创业</w:t>
      </w:r>
    </w:p>
    <w:p>
      <w:pPr>
        <w:numPr>
          <w:ilvl w:val="0"/>
          <w:numId w:val="0"/>
        </w:numPr>
        <w:jc w:val="center"/>
        <w:rPr>
          <w:rStyle w:val="4"/>
          <w:rFonts w:hint="eastAsia" w:ascii="Times New Roman" w:hAnsi="Times New Roman" w:eastAsia="方正小标宋_GBK" w:cs="Times New Roman"/>
          <w:bCs/>
          <w:sz w:val="40"/>
          <w:szCs w:val="44"/>
          <w:lang w:val="en-US" w:eastAsia="zh-CN"/>
        </w:rPr>
      </w:pPr>
      <w:r>
        <w:rPr>
          <w:rStyle w:val="4"/>
          <w:rFonts w:hint="eastAsia" w:ascii="Times New Roman" w:hAnsi="Times New Roman" w:eastAsia="方正小标宋_GBK" w:cs="Times New Roman"/>
          <w:bCs/>
          <w:sz w:val="40"/>
          <w:szCs w:val="44"/>
          <w:lang w:val="en-US" w:eastAsia="zh-CN"/>
        </w:rPr>
        <w:t>若干补贴实施办法（草案解读）.</w:t>
      </w:r>
    </w:p>
    <w:p>
      <w:pPr>
        <w:numPr>
          <w:ilvl w:val="0"/>
          <w:numId w:val="0"/>
        </w:numPr>
        <w:jc w:val="center"/>
        <w:rPr>
          <w:rStyle w:val="4"/>
          <w:rFonts w:hint="eastAsia" w:ascii="Times New Roman" w:hAnsi="Times New Roman" w:eastAsia="方正小标宋_GBK" w:cs="Times New Roman"/>
          <w:bCs/>
          <w:sz w:val="40"/>
          <w:szCs w:val="44"/>
          <w:lang w:val="en-US" w:eastAsia="zh-CN"/>
        </w:rPr>
      </w:pPr>
    </w:p>
    <w:p>
      <w:pPr>
        <w:numPr>
          <w:ilvl w:val="0"/>
          <w:numId w:val="0"/>
        </w:numPr>
        <w:jc w:val="center"/>
        <w:rPr>
          <w:rStyle w:val="4"/>
          <w:rFonts w:hint="default" w:ascii="Times New Roman" w:hAnsi="Times New Roman" w:eastAsia="方正小标宋_GBK" w:cs="Times New Roman"/>
          <w:b/>
          <w:bCs w:val="0"/>
          <w:sz w:val="40"/>
          <w:szCs w:val="44"/>
          <w:lang w:val="en-US" w:eastAsia="zh-CN"/>
        </w:rPr>
      </w:pPr>
    </w:p>
    <w:p>
      <w:pPr>
        <w:numPr>
          <w:ilvl w:val="0"/>
          <w:numId w:val="0"/>
        </w:numPr>
        <w:rPr>
          <w:rFonts w:hint="eastAsia" w:ascii="方正仿宋_GBK" w:hAnsi="方正仿宋_GBK" w:eastAsia="方正仿宋_GBK" w:cs="方正仿宋_GBK"/>
          <w:b/>
          <w:bCs w:val="0"/>
          <w:i w:val="0"/>
          <w:iCs w:val="0"/>
          <w:caps w:val="0"/>
          <w:color w:val="333333"/>
          <w:spacing w:val="0"/>
          <w:sz w:val="31"/>
          <w:szCs w:val="31"/>
          <w:shd w:val="clear" w:fill="FFFFFF"/>
          <w:lang w:val="en-US" w:eastAsia="zh-CN"/>
        </w:rPr>
      </w:pPr>
      <w:r>
        <w:rPr>
          <w:rFonts w:hint="eastAsia" w:ascii="方正仿宋_GBK" w:hAnsi="方正仿宋_GBK" w:eastAsia="方正仿宋_GBK" w:cs="方正仿宋_GBK"/>
          <w:b/>
          <w:bCs w:val="0"/>
          <w:i w:val="0"/>
          <w:iCs w:val="0"/>
          <w:caps w:val="0"/>
          <w:color w:val="333333"/>
          <w:spacing w:val="0"/>
          <w:sz w:val="31"/>
          <w:szCs w:val="31"/>
          <w:shd w:val="clear" w:fill="FFFFFF"/>
          <w:lang w:val="en-US" w:eastAsia="zh-CN"/>
        </w:rPr>
        <w:t>一、背景和依据</w:t>
      </w:r>
    </w:p>
    <w:p>
      <w:pPr>
        <w:spacing w:line="579" w:lineRule="exact"/>
        <w:ind w:firstLine="640" w:firstLineChars="200"/>
        <w:rPr>
          <w:rFonts w:hint="eastAsia" w:ascii="Times New Roman" w:hAnsi="Times New Roman" w:eastAsia="方正仿宋_GBK" w:cs="Times New Roman"/>
          <w:sz w:val="32"/>
        </w:rPr>
      </w:pPr>
      <w:r>
        <w:rPr>
          <w:rFonts w:hint="eastAsia" w:ascii="Times New Roman" w:hAnsi="Times New Roman" w:eastAsia="方正仿宋_GBK" w:cs="Times New Roman"/>
          <w:sz w:val="32"/>
          <w:lang w:val="en-US" w:eastAsia="zh-CN"/>
        </w:rPr>
        <w:t>为</w:t>
      </w:r>
      <w:r>
        <w:rPr>
          <w:rFonts w:hint="eastAsia" w:ascii="Times New Roman" w:hAnsi="Times New Roman" w:eastAsia="方正仿宋_GBK" w:cs="Times New Roman"/>
          <w:sz w:val="32"/>
        </w:rPr>
        <w:t>落实积极的就业创业帮扶政策，实现更加充分更高质量就业</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rPr>
        <w:t>助推两江新区建设成为高质量发展引领区、高品质生活示范区，根据《重庆市人力资源和社会保障局重庆市财政局中国人民银行重庆营业管理部关于进一步推进创业担保贷款相关工作的通知》（渝人社发〔2018〕175号）等精神，结合新区实际，特制定本办法。</w:t>
      </w:r>
    </w:p>
    <w:p>
      <w:pPr>
        <w:numPr>
          <w:ilvl w:val="0"/>
          <w:numId w:val="0"/>
        </w:numPr>
        <w:ind w:leftChars="0"/>
        <w:rPr>
          <w:rFonts w:hint="eastAsia" w:ascii="方正仿宋_GBK" w:hAnsi="方正仿宋_GBK" w:eastAsia="方正仿宋_GBK" w:cs="方正仿宋_GBK"/>
          <w:b/>
          <w:bCs/>
          <w:i w:val="0"/>
          <w:iCs w:val="0"/>
          <w:caps w:val="0"/>
          <w:color w:val="333333"/>
          <w:spacing w:val="0"/>
          <w:sz w:val="31"/>
          <w:szCs w:val="31"/>
          <w:shd w:val="clear" w:fill="FFFFFF"/>
          <w:lang w:val="en-US" w:eastAsia="zh-CN"/>
        </w:rPr>
      </w:pPr>
      <w:r>
        <w:rPr>
          <w:rFonts w:hint="eastAsia" w:ascii="方正仿宋_GBK" w:hAnsi="方正仿宋_GBK" w:eastAsia="方正仿宋_GBK" w:cs="方正仿宋_GBK"/>
          <w:b/>
          <w:bCs/>
          <w:i w:val="0"/>
          <w:iCs w:val="0"/>
          <w:caps w:val="0"/>
          <w:color w:val="333333"/>
          <w:spacing w:val="0"/>
          <w:sz w:val="31"/>
          <w:szCs w:val="31"/>
          <w:shd w:val="clear" w:fill="FFFFFF"/>
          <w:lang w:val="en-US" w:eastAsia="zh-CN"/>
        </w:rPr>
        <w:t>二、主要内容</w:t>
      </w:r>
    </w:p>
    <w:p>
      <w:pPr>
        <w:spacing w:line="579" w:lineRule="exact"/>
        <w:ind w:firstLine="640" w:firstLineChars="200"/>
        <w:jc w:val="both"/>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本办法共五章，共19条。</w:t>
      </w:r>
    </w:p>
    <w:p>
      <w:pPr>
        <w:spacing w:line="579" w:lineRule="exact"/>
        <w:ind w:firstLine="640" w:firstLineChars="200"/>
        <w:jc w:val="both"/>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第一章总则，共3条。介绍政策出台背景、适用范围、职责分工。</w:t>
      </w:r>
    </w:p>
    <w:p>
      <w:pPr>
        <w:spacing w:line="579" w:lineRule="exact"/>
        <w:ind w:firstLine="640" w:firstLineChars="200"/>
        <w:jc w:val="both"/>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第二章创业担保贷款及贴息，共5条。明确对象范围、贷款额度及贴息标准、办理程序、申请贴息时间和贴息资金发放。</w:t>
      </w:r>
    </w:p>
    <w:p>
      <w:pPr>
        <w:spacing w:line="579" w:lineRule="exact"/>
        <w:ind w:firstLine="640" w:firstLineChars="200"/>
        <w:jc w:val="both"/>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第三章创业创新大赛奖励，共3条。明确获奖对象范围、奖励标准和获奖办理程序。</w:t>
      </w:r>
    </w:p>
    <w:p>
      <w:pPr>
        <w:spacing w:line="579" w:lineRule="exact"/>
        <w:ind w:firstLine="640" w:firstLineChars="200"/>
        <w:jc w:val="both"/>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第四章公益性岗位补助，共</w:t>
      </w:r>
      <w:r>
        <w:rPr>
          <w:rFonts w:hint="eastAsia" w:ascii="Times New Roman" w:hAnsi="Times New Roman" w:eastAsia="方正仿宋_GBK" w:cs="Times New Roman"/>
          <w:sz w:val="32"/>
          <w:lang w:val="en-US" w:eastAsia="zh-CN"/>
        </w:rPr>
        <w:tab/>
      </w:r>
      <w:r>
        <w:rPr>
          <w:rFonts w:hint="eastAsia" w:ascii="Times New Roman" w:hAnsi="Times New Roman" w:eastAsia="方正仿宋_GBK" w:cs="Times New Roman"/>
          <w:sz w:val="32"/>
          <w:lang w:val="en-US" w:eastAsia="zh-CN"/>
        </w:rPr>
        <w:t>3条。明确补助对象范围、补助标准和补助办理程序。</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第五章附则，共5条。明确本办法注意事项和施行时间。</w:t>
      </w:r>
    </w:p>
    <w:p>
      <w:pPr>
        <w:numPr>
          <w:numId w:val="0"/>
        </w:numPr>
        <w:rPr>
          <w:rFonts w:hint="eastAsia" w:ascii="方正仿宋_GBK" w:hAnsi="方正仿宋_GBK" w:eastAsia="方正仿宋_GBK" w:cs="方正仿宋_GBK"/>
          <w:b/>
          <w:bCs/>
          <w:i w:val="0"/>
          <w:iCs w:val="0"/>
          <w:caps w:val="0"/>
          <w:color w:val="333333"/>
          <w:spacing w:val="0"/>
          <w:sz w:val="31"/>
          <w:szCs w:val="31"/>
          <w:shd w:val="clear" w:fill="FFFFFF"/>
          <w:lang w:val="en-US" w:eastAsia="zh-CN"/>
        </w:rPr>
      </w:pPr>
      <w:r>
        <w:rPr>
          <w:rFonts w:hint="eastAsia" w:ascii="方正仿宋_GBK" w:hAnsi="方正仿宋_GBK" w:eastAsia="方正仿宋_GBK" w:cs="方正仿宋_GBK"/>
          <w:b/>
          <w:bCs/>
          <w:i w:val="0"/>
          <w:iCs w:val="0"/>
          <w:caps w:val="0"/>
          <w:color w:val="333333"/>
          <w:spacing w:val="0"/>
          <w:sz w:val="31"/>
          <w:szCs w:val="31"/>
          <w:shd w:val="clear" w:fill="FFFFFF"/>
          <w:lang w:val="en-US" w:eastAsia="zh-CN"/>
        </w:rPr>
        <w:t>三、制定目的</w:t>
      </w:r>
    </w:p>
    <w:p>
      <w:pPr>
        <w:numPr>
          <w:ilvl w:val="0"/>
          <w:numId w:val="0"/>
        </w:numPr>
        <w:ind w:leftChars="0"/>
        <w:rPr>
          <w:rFonts w:hint="default" w:ascii="方正仿宋_GBK" w:hAnsi="方正仿宋_GBK" w:eastAsia="方正仿宋_GBK" w:cs="方正仿宋_GBK"/>
          <w:i w:val="0"/>
          <w:iCs w:val="0"/>
          <w:caps w:val="0"/>
          <w:color w:val="333333"/>
          <w:spacing w:val="0"/>
          <w:sz w:val="31"/>
          <w:szCs w:val="31"/>
          <w:shd w:val="clear" w:fill="FFFFFF"/>
          <w:lang w:val="en-US" w:eastAsia="zh-CN"/>
        </w:rPr>
      </w:pPr>
      <w:r>
        <w:rPr>
          <w:rFonts w:hint="eastAsia" w:ascii="Times New Roman" w:hAnsi="Times New Roman" w:eastAsia="方正仿宋_GBK" w:cs="Times New Roman"/>
          <w:sz w:val="32"/>
          <w:lang w:val="en-US" w:eastAsia="zh-CN"/>
        </w:rPr>
        <w:t>就业是最大的民生，也是经济发展最基本的支撑。践行以人民为中心发展思想、扎实推进共同富裕，深入分析两江新区面临的挑战和风险，坚持问题导向，采取务实举措，抓住机遇，调动各种积极因素，不断开创就业工作新局面，努力实现更加充分更高质量就业。</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52A684C"/>
    <w:rsid w:val="5ED4000E"/>
    <w:rsid w:val="7BD220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character" w:styleId="4">
    <w:name w:val="Strong"/>
    <w:qFormat/>
    <w:uiPriority w:val="22"/>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36</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2021-12-31T08:18:00Z</dcterms:created>
  <dc:creator>HP</dc:creator>
  <cp:lastModifiedBy>Aurora</cp:lastModifiedBy>
  <dcterms:modified xsi:type="dcterms:W3CDTF">2021-12-31T09:46:03Z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C02D9B2848A24B20919156C3C8EB0886</vt:lpwstr>
  </property>
</Properties>
</file>