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ascii="方正小标宋_GBK" w:eastAsia="方正小标宋_GBK"/>
          <w:sz w:val="44"/>
          <w:szCs w:val="32"/>
        </w:rPr>
      </w:pPr>
      <w:r>
        <w:rPr>
          <w:rFonts w:hint="eastAsia" w:ascii="方正小标宋_GBK" w:eastAsia="方正小标宋_GBK"/>
          <w:sz w:val="44"/>
          <w:szCs w:val="32"/>
        </w:rPr>
        <w:t>重庆两江新区政府投资管理办法</w:t>
      </w:r>
    </w:p>
    <w:p>
      <w:pPr>
        <w:jc w:val="center"/>
        <w:rPr>
          <w:rFonts w:ascii="方正小标宋_GBK" w:eastAsia="方正小标宋_GBK"/>
          <w:sz w:val="44"/>
          <w:szCs w:val="32"/>
        </w:rPr>
      </w:pPr>
      <w:r>
        <w:rPr>
          <w:rFonts w:hint="eastAsia" w:ascii="方正小标宋_GBK" w:eastAsia="方正小标宋_GBK"/>
          <w:sz w:val="44"/>
          <w:szCs w:val="32"/>
        </w:rPr>
        <w:t>（</w:t>
      </w:r>
      <w:r>
        <w:rPr>
          <w:rFonts w:hint="eastAsia" w:ascii="方正小标宋_GBK" w:eastAsia="方正小标宋_GBK"/>
          <w:sz w:val="44"/>
          <w:szCs w:val="32"/>
          <w:lang w:val="en-US" w:eastAsia="zh-CN"/>
        </w:rPr>
        <w:t>征求意见</w:t>
      </w:r>
      <w:r>
        <w:rPr>
          <w:rFonts w:hint="eastAsia" w:ascii="方正小标宋_GBK" w:eastAsia="方正小标宋_GBK"/>
          <w:sz w:val="44"/>
          <w:szCs w:val="32"/>
        </w:rPr>
        <w:t>稿）</w:t>
      </w:r>
    </w:p>
    <w:p>
      <w:pPr>
        <w:pStyle w:val="2"/>
        <w:keepNext w:val="0"/>
        <w:keepLines w:val="0"/>
        <w:spacing w:before="312" w:beforeLines="100" w:after="156" w:afterLines="50" w:line="360" w:lineRule="auto"/>
        <w:jc w:val="center"/>
        <w:rPr>
          <w:rFonts w:ascii="方正小标宋_GBK" w:hAnsi="Times New Roman" w:eastAsia="方正小标宋_GBK" w:cs="Times New Roman"/>
          <w:b w:val="0"/>
          <w:bCs w:val="0"/>
          <w:sz w:val="32"/>
          <w:szCs w:val="32"/>
        </w:rPr>
      </w:pPr>
      <w:r>
        <w:rPr>
          <w:rFonts w:hint="eastAsia" w:ascii="方正小标宋_GBK" w:hAnsi="Times New Roman" w:eastAsia="方正小标宋_GBK" w:cs="Times New Roman"/>
          <w:b w:val="0"/>
          <w:bCs w:val="0"/>
          <w:sz w:val="32"/>
          <w:szCs w:val="32"/>
        </w:rPr>
        <w:t>第一章 总则</w:t>
      </w:r>
    </w:p>
    <w:p>
      <w:pPr>
        <w:pStyle w:val="3"/>
        <w:keepNext w:val="0"/>
        <w:keepLines w:val="0"/>
        <w:numPr>
          <w:ilvl w:val="0"/>
          <w:numId w:val="1"/>
        </w:numPr>
        <w:spacing w:before="156" w:beforeLines="50" w:after="0" w:line="360" w:lineRule="auto"/>
        <w:ind w:left="0" w:firstLine="566" w:firstLineChars="177"/>
        <w:rPr>
          <w:rFonts w:ascii="方正仿宋_GBK" w:hAnsi="Times New Roman" w:eastAsia="方正仿宋_GBK" w:cs="Times New Roman"/>
          <w:b w:val="0"/>
          <w:bCs w:val="0"/>
        </w:rPr>
      </w:pPr>
      <w:r>
        <w:rPr>
          <w:rFonts w:hint="eastAsia" w:ascii="方正仿宋_GBK" w:hAnsi="Times New Roman" w:eastAsia="方正仿宋_GBK" w:cs="Times New Roman"/>
          <w:b w:val="0"/>
          <w:bCs w:val="0"/>
        </w:rPr>
        <w:t>为加强两江新区政府投资项目管理，充分发挥政府投资作用，提高政府投资效益，规范政府投资行为，激发社会投资活力，根据《政府投资条例》（国务院令第712号）、《重庆市政府投资管理办法》（</w:t>
      </w:r>
      <w:bookmarkStart w:id="19" w:name="_GoBack"/>
      <w:bookmarkEnd w:id="19"/>
      <w:r>
        <w:rPr>
          <w:rFonts w:hint="eastAsia" w:ascii="方正仿宋_GBK" w:hAnsi="Times New Roman" w:eastAsia="方正仿宋_GBK" w:cs="Times New Roman"/>
          <w:b w:val="0"/>
          <w:bCs w:val="0"/>
        </w:rPr>
        <w:t>重庆市人民政府令第</w:t>
      </w:r>
      <w:r>
        <w:rPr>
          <w:rFonts w:ascii="方正仿宋_GBK" w:hAnsi="Times New Roman" w:eastAsia="方正仿宋_GBK" w:cs="Times New Roman"/>
          <w:b w:val="0"/>
          <w:bCs w:val="0"/>
        </w:rPr>
        <w:t>339号）</w:t>
      </w:r>
      <w:r>
        <w:rPr>
          <w:rFonts w:hint="eastAsia" w:ascii="方正仿宋_GBK" w:hAnsi="Times New Roman" w:eastAsia="方正仿宋_GBK" w:cs="Times New Roman"/>
          <w:b w:val="0"/>
          <w:bCs w:val="0"/>
        </w:rPr>
        <w:t>、《重庆市人民政府办公厅关于加快市级政府投资项目前期工作的通知》（渝府发〔2</w:t>
      </w:r>
      <w:r>
        <w:rPr>
          <w:rFonts w:ascii="方正仿宋_GBK" w:hAnsi="Times New Roman" w:eastAsia="方正仿宋_GBK" w:cs="Times New Roman"/>
          <w:b w:val="0"/>
          <w:bCs w:val="0"/>
        </w:rPr>
        <w:t>020</w:t>
      </w:r>
      <w:r>
        <w:rPr>
          <w:rFonts w:hint="eastAsia" w:ascii="方正仿宋_GBK" w:hAnsi="Times New Roman" w:eastAsia="方正仿宋_GBK" w:cs="Times New Roman"/>
          <w:b w:val="0"/>
          <w:bCs w:val="0"/>
        </w:rPr>
        <w:t>〕</w:t>
      </w:r>
      <w:r>
        <w:rPr>
          <w:rFonts w:ascii="方正仿宋_GBK" w:hAnsi="Times New Roman" w:eastAsia="方正仿宋_GBK" w:cs="Times New Roman"/>
          <w:b w:val="0"/>
          <w:bCs w:val="0"/>
        </w:rPr>
        <w:t>118</w:t>
      </w:r>
      <w:r>
        <w:rPr>
          <w:rFonts w:hint="eastAsia" w:ascii="方正仿宋_GBK" w:hAnsi="Times New Roman" w:eastAsia="方正仿宋_GBK" w:cs="Times New Roman"/>
          <w:b w:val="0"/>
          <w:bCs w:val="0"/>
        </w:rPr>
        <w:t>号）及其它有关法律、法规规定，结合两江新区实际，制定本办法。</w:t>
      </w:r>
    </w:p>
    <w:p>
      <w:pPr>
        <w:pStyle w:val="3"/>
        <w:keepNext w:val="0"/>
        <w:keepLines w:val="0"/>
        <w:numPr>
          <w:ilvl w:val="0"/>
          <w:numId w:val="1"/>
        </w:numPr>
        <w:spacing w:before="156" w:beforeLines="50" w:after="0" w:line="360" w:lineRule="auto"/>
        <w:ind w:left="0" w:firstLine="566" w:firstLineChars="177"/>
        <w:rPr>
          <w:rFonts w:ascii="方正仿宋_GBK" w:hAnsi="Times New Roman" w:eastAsia="方正仿宋_GBK" w:cs="Times New Roman"/>
          <w:b w:val="0"/>
          <w:bCs w:val="0"/>
        </w:rPr>
      </w:pPr>
      <w:r>
        <w:rPr>
          <w:rFonts w:hint="eastAsia" w:ascii="方正仿宋_GBK" w:hAnsi="Times New Roman" w:eastAsia="方正仿宋_GBK" w:cs="Times New Roman"/>
          <w:b w:val="0"/>
          <w:bCs w:val="0"/>
        </w:rPr>
        <w:t>本办法所称政府投资，是指使用预算安排的资金进行固定资产投资建设活动，包括新建、扩建、改建、技术改造等。</w:t>
      </w:r>
    </w:p>
    <w:p>
      <w:pPr>
        <w:spacing w:line="560" w:lineRule="exact"/>
        <w:ind w:firstLine="640" w:firstLineChars="200"/>
        <w:rPr>
          <w:rFonts w:ascii="方正仿宋_GBK" w:hAnsi="Times New Roman" w:eastAsia="方正仿宋_GBK" w:cs="Times New Roman"/>
          <w:sz w:val="32"/>
          <w:szCs w:val="32"/>
        </w:rPr>
      </w:pPr>
      <w:r>
        <w:rPr>
          <w:rFonts w:hint="eastAsia" w:ascii="方正仿宋_GBK" w:hAnsi="Times New Roman" w:eastAsia="方正仿宋_GBK" w:cs="Times New Roman"/>
          <w:sz w:val="32"/>
          <w:szCs w:val="32"/>
        </w:rPr>
        <w:t>预算安排的资金包括一般公共预算资金、政府性基金预算资金、国有资本经营预算资金，以及法律、法规规定的其他资金。</w:t>
      </w:r>
    </w:p>
    <w:p>
      <w:pPr>
        <w:pStyle w:val="3"/>
        <w:keepNext w:val="0"/>
        <w:keepLines w:val="0"/>
        <w:numPr>
          <w:ilvl w:val="0"/>
          <w:numId w:val="1"/>
        </w:numPr>
        <w:spacing w:before="156" w:beforeLines="50" w:after="0" w:line="360" w:lineRule="auto"/>
        <w:ind w:left="0" w:firstLine="566" w:firstLineChars="177"/>
        <w:rPr>
          <w:rFonts w:ascii="方正仿宋_GBK" w:hAnsi="Times New Roman" w:eastAsia="方正仿宋_GBK" w:cs="Times New Roman"/>
          <w:b w:val="0"/>
          <w:bCs w:val="0"/>
        </w:rPr>
      </w:pPr>
      <w:r>
        <w:rPr>
          <w:rFonts w:hint="eastAsia" w:ascii="方正仿宋_GBK" w:hAnsi="Times New Roman" w:eastAsia="方正仿宋_GBK" w:cs="Times New Roman"/>
          <w:b w:val="0"/>
          <w:bCs w:val="0"/>
        </w:rPr>
        <w:t>两江新区政府投资资金主要投向市场不能有效配置资源的、需要政府支持的公共领域项目，以非经营性项目为主。主要包括：</w:t>
      </w:r>
    </w:p>
    <w:p>
      <w:pPr>
        <w:pStyle w:val="34"/>
        <w:spacing w:line="360" w:lineRule="auto"/>
        <w:ind w:firstLine="640"/>
        <w:rPr>
          <w:rFonts w:ascii="方正仿宋_GBK" w:hAnsi="Times New Roman" w:eastAsia="方正仿宋_GBK" w:cs="Times New Roman"/>
          <w:sz w:val="32"/>
          <w:szCs w:val="32"/>
        </w:rPr>
      </w:pPr>
      <w:r>
        <w:rPr>
          <w:rFonts w:hint="eastAsia" w:ascii="方正仿宋_GBK" w:hAnsi="Times New Roman" w:eastAsia="方正仿宋_GBK" w:cs="Times New Roman"/>
          <w:sz w:val="32"/>
          <w:szCs w:val="32"/>
        </w:rPr>
        <w:t>（一）社会公益服务；</w:t>
      </w:r>
    </w:p>
    <w:p>
      <w:pPr>
        <w:pStyle w:val="34"/>
        <w:spacing w:line="360" w:lineRule="auto"/>
        <w:ind w:firstLine="640"/>
        <w:rPr>
          <w:rFonts w:ascii="方正仿宋_GBK" w:hAnsi="Times New Roman" w:eastAsia="方正仿宋_GBK" w:cs="Times New Roman"/>
          <w:sz w:val="32"/>
          <w:szCs w:val="32"/>
        </w:rPr>
      </w:pPr>
      <w:r>
        <w:rPr>
          <w:rFonts w:hint="eastAsia" w:ascii="方正仿宋_GBK" w:hAnsi="Times New Roman" w:eastAsia="方正仿宋_GBK" w:cs="Times New Roman"/>
          <w:sz w:val="32"/>
          <w:szCs w:val="32"/>
        </w:rPr>
        <w:t>（二）公共基础设施；</w:t>
      </w:r>
    </w:p>
    <w:p>
      <w:pPr>
        <w:pStyle w:val="34"/>
        <w:spacing w:line="360" w:lineRule="auto"/>
        <w:ind w:firstLine="640"/>
        <w:rPr>
          <w:rFonts w:ascii="方正仿宋_GBK" w:hAnsi="Times New Roman" w:eastAsia="方正仿宋_GBK" w:cs="Times New Roman"/>
          <w:sz w:val="32"/>
          <w:szCs w:val="32"/>
        </w:rPr>
      </w:pPr>
      <w:r>
        <w:rPr>
          <w:rFonts w:hint="eastAsia" w:ascii="方正仿宋_GBK" w:hAnsi="Times New Roman" w:eastAsia="方正仿宋_GBK" w:cs="Times New Roman"/>
          <w:sz w:val="32"/>
          <w:szCs w:val="32"/>
        </w:rPr>
        <w:t>（三）生态环境保护；</w:t>
      </w:r>
    </w:p>
    <w:p>
      <w:pPr>
        <w:pStyle w:val="34"/>
        <w:spacing w:line="360" w:lineRule="auto"/>
        <w:ind w:firstLine="640"/>
        <w:rPr>
          <w:rFonts w:ascii="方正仿宋_GBK" w:hAnsi="Times New Roman" w:eastAsia="方正仿宋_GBK" w:cs="Times New Roman"/>
          <w:sz w:val="32"/>
          <w:szCs w:val="32"/>
        </w:rPr>
      </w:pPr>
      <w:r>
        <w:rPr>
          <w:rFonts w:hint="eastAsia" w:ascii="方正仿宋_GBK" w:hAnsi="Times New Roman" w:eastAsia="方正仿宋_GBK" w:cs="Times New Roman"/>
          <w:sz w:val="32"/>
          <w:szCs w:val="32"/>
        </w:rPr>
        <w:t>（四）重大科技进步；</w:t>
      </w:r>
    </w:p>
    <w:p>
      <w:pPr>
        <w:pStyle w:val="34"/>
        <w:spacing w:line="360" w:lineRule="auto"/>
        <w:ind w:firstLine="640"/>
        <w:rPr>
          <w:rFonts w:ascii="方正仿宋_GBK" w:hAnsi="Times New Roman" w:eastAsia="方正仿宋_GBK" w:cs="Times New Roman"/>
          <w:sz w:val="32"/>
          <w:szCs w:val="32"/>
        </w:rPr>
      </w:pPr>
      <w:r>
        <w:rPr>
          <w:rFonts w:hint="eastAsia" w:ascii="方正仿宋_GBK" w:hAnsi="Times New Roman" w:eastAsia="方正仿宋_GBK" w:cs="Times New Roman"/>
          <w:sz w:val="32"/>
          <w:szCs w:val="32"/>
        </w:rPr>
        <w:t>（五）社会管理；</w:t>
      </w:r>
    </w:p>
    <w:p>
      <w:pPr>
        <w:pStyle w:val="34"/>
        <w:spacing w:line="360" w:lineRule="auto"/>
        <w:ind w:firstLine="640"/>
        <w:rPr>
          <w:rFonts w:ascii="方正仿宋_GBK" w:hAnsi="Times New Roman" w:eastAsia="方正仿宋_GBK" w:cs="Times New Roman"/>
          <w:sz w:val="32"/>
          <w:szCs w:val="32"/>
        </w:rPr>
      </w:pPr>
      <w:r>
        <w:rPr>
          <w:rFonts w:hint="eastAsia" w:ascii="方正仿宋_GBK" w:hAnsi="Times New Roman" w:eastAsia="方正仿宋_GBK" w:cs="Times New Roman"/>
          <w:sz w:val="32"/>
          <w:szCs w:val="32"/>
        </w:rPr>
        <w:t>（六）国家安全；</w:t>
      </w:r>
    </w:p>
    <w:p>
      <w:pPr>
        <w:pStyle w:val="34"/>
        <w:spacing w:line="360" w:lineRule="auto"/>
        <w:ind w:firstLine="640"/>
        <w:rPr>
          <w:rFonts w:ascii="方正仿宋_GBK" w:hAnsi="Times New Roman" w:eastAsia="方正仿宋_GBK" w:cs="Times New Roman"/>
          <w:sz w:val="32"/>
          <w:szCs w:val="32"/>
        </w:rPr>
      </w:pPr>
      <w:r>
        <w:rPr>
          <w:rFonts w:hint="eastAsia" w:ascii="方正仿宋_GBK" w:hAnsi="Times New Roman" w:eastAsia="方正仿宋_GBK" w:cs="Times New Roman"/>
          <w:sz w:val="32"/>
          <w:szCs w:val="32"/>
        </w:rPr>
        <w:t>（七）符合国家和重庆市有关规定的其他项目。</w:t>
      </w:r>
    </w:p>
    <w:p>
      <w:pPr>
        <w:pStyle w:val="34"/>
        <w:spacing w:line="360" w:lineRule="auto"/>
        <w:ind w:firstLine="640"/>
        <w:rPr>
          <w:rFonts w:ascii="方正仿宋_GBK" w:hAnsi="Times New Roman" w:eastAsia="方正仿宋_GBK" w:cs="Times New Roman"/>
          <w:sz w:val="32"/>
          <w:szCs w:val="32"/>
        </w:rPr>
      </w:pPr>
      <w:bookmarkStart w:id="0" w:name="_Hlk61210957"/>
      <w:r>
        <w:rPr>
          <w:rFonts w:hint="eastAsia" w:ascii="方正仿宋_GBK" w:hAnsi="Times New Roman" w:eastAsia="方正仿宋_GBK" w:cs="Times New Roman"/>
          <w:sz w:val="32"/>
          <w:szCs w:val="32"/>
        </w:rPr>
        <w:t>各单位、各部门</w:t>
      </w:r>
      <w:bookmarkEnd w:id="0"/>
      <w:r>
        <w:rPr>
          <w:rFonts w:hint="eastAsia" w:ascii="方正仿宋_GBK" w:hAnsi="Times New Roman" w:eastAsia="方正仿宋_GBK" w:cs="Times New Roman"/>
          <w:sz w:val="32"/>
          <w:szCs w:val="32"/>
        </w:rPr>
        <w:t>根据国家及重庆市有关政策措施，发挥政府投资资金的引导和带动作用，鼓励社会资金投向以上领域。建立政府投资范围定期评估调整机制，不断优化政府投资方向和结构。</w:t>
      </w:r>
    </w:p>
    <w:p>
      <w:pPr>
        <w:pStyle w:val="3"/>
        <w:keepNext w:val="0"/>
        <w:keepLines w:val="0"/>
        <w:numPr>
          <w:ilvl w:val="0"/>
          <w:numId w:val="1"/>
        </w:numPr>
        <w:spacing w:before="156" w:beforeLines="50" w:after="0" w:line="360" w:lineRule="auto"/>
        <w:ind w:left="0" w:firstLine="566" w:firstLineChars="177"/>
        <w:rPr>
          <w:rFonts w:ascii="方正仿宋_GBK" w:hAnsi="Times New Roman" w:eastAsia="方正仿宋_GBK" w:cs="Times New Roman"/>
          <w:b w:val="0"/>
          <w:bCs w:val="0"/>
        </w:rPr>
      </w:pPr>
      <w:r>
        <w:rPr>
          <w:rFonts w:hint="eastAsia" w:ascii="方正仿宋_GBK" w:hAnsi="Times New Roman" w:eastAsia="方正仿宋_GBK" w:cs="Times New Roman"/>
          <w:b w:val="0"/>
          <w:bCs w:val="0"/>
        </w:rPr>
        <w:t>政府投资应遵循以下原则：</w:t>
      </w:r>
    </w:p>
    <w:p>
      <w:pPr>
        <w:pStyle w:val="34"/>
        <w:spacing w:line="360" w:lineRule="auto"/>
        <w:ind w:firstLine="640"/>
        <w:rPr>
          <w:rFonts w:ascii="方正仿宋_GBK" w:hAnsi="Times New Roman" w:eastAsia="方正仿宋_GBK" w:cs="Times New Roman"/>
          <w:sz w:val="32"/>
          <w:szCs w:val="32"/>
        </w:rPr>
      </w:pPr>
      <w:r>
        <w:rPr>
          <w:rFonts w:hint="eastAsia" w:ascii="方正仿宋_GBK" w:hAnsi="Times New Roman" w:eastAsia="方正仿宋_GBK" w:cs="Times New Roman"/>
          <w:sz w:val="32"/>
          <w:szCs w:val="32"/>
        </w:rPr>
        <w:t>（一）科学论证、民主决策；</w:t>
      </w:r>
    </w:p>
    <w:p>
      <w:pPr>
        <w:pStyle w:val="34"/>
        <w:spacing w:line="360" w:lineRule="auto"/>
        <w:ind w:firstLine="640"/>
        <w:rPr>
          <w:rFonts w:ascii="方正仿宋_GBK" w:hAnsi="Times New Roman" w:eastAsia="方正仿宋_GBK" w:cs="Times New Roman"/>
          <w:sz w:val="32"/>
          <w:szCs w:val="32"/>
        </w:rPr>
      </w:pPr>
      <w:r>
        <w:rPr>
          <w:rFonts w:hint="eastAsia" w:ascii="方正仿宋_GBK" w:hAnsi="Times New Roman" w:eastAsia="方正仿宋_GBK" w:cs="Times New Roman"/>
          <w:sz w:val="32"/>
          <w:szCs w:val="32"/>
        </w:rPr>
        <w:t>（二）规范运作、依法监管；</w:t>
      </w:r>
    </w:p>
    <w:p>
      <w:pPr>
        <w:pStyle w:val="34"/>
        <w:spacing w:line="360" w:lineRule="auto"/>
        <w:ind w:firstLine="640"/>
        <w:rPr>
          <w:rFonts w:ascii="方正仿宋_GBK" w:hAnsi="Times New Roman" w:eastAsia="方正仿宋_GBK" w:cs="Times New Roman"/>
          <w:sz w:val="32"/>
          <w:szCs w:val="32"/>
        </w:rPr>
      </w:pPr>
      <w:r>
        <w:rPr>
          <w:rFonts w:hint="eastAsia" w:ascii="方正仿宋_GBK" w:hAnsi="Times New Roman" w:eastAsia="方正仿宋_GBK" w:cs="Times New Roman"/>
          <w:sz w:val="32"/>
          <w:szCs w:val="32"/>
        </w:rPr>
        <w:t>（三）量入为出、统筹平衡；</w:t>
      </w:r>
    </w:p>
    <w:p>
      <w:pPr>
        <w:pStyle w:val="34"/>
        <w:spacing w:line="360" w:lineRule="auto"/>
        <w:ind w:firstLine="640"/>
        <w:rPr>
          <w:rFonts w:ascii="方正仿宋_GBK" w:hAnsi="Times New Roman" w:eastAsia="方正仿宋_GBK" w:cs="Times New Roman"/>
          <w:sz w:val="32"/>
          <w:szCs w:val="32"/>
        </w:rPr>
      </w:pPr>
      <w:r>
        <w:rPr>
          <w:rFonts w:hint="eastAsia" w:ascii="方正仿宋_GBK" w:hAnsi="Times New Roman" w:eastAsia="方正仿宋_GBK" w:cs="Times New Roman"/>
          <w:sz w:val="32"/>
          <w:szCs w:val="32"/>
        </w:rPr>
        <w:t>（四）注重绩效、公开透明。</w:t>
      </w:r>
    </w:p>
    <w:p>
      <w:pPr>
        <w:pStyle w:val="3"/>
        <w:keepNext w:val="0"/>
        <w:keepLines w:val="0"/>
        <w:numPr>
          <w:ilvl w:val="0"/>
          <w:numId w:val="1"/>
        </w:numPr>
        <w:spacing w:before="156" w:beforeLines="50" w:after="0" w:line="360" w:lineRule="auto"/>
        <w:ind w:left="0" w:firstLine="566" w:firstLineChars="177"/>
        <w:rPr>
          <w:rFonts w:ascii="方正仿宋_GBK" w:hAnsi="Times New Roman" w:eastAsia="方正仿宋_GBK" w:cs="Times New Roman"/>
          <w:b w:val="0"/>
          <w:bCs w:val="0"/>
        </w:rPr>
      </w:pPr>
      <w:bookmarkStart w:id="1" w:name="_Hlk17725110"/>
      <w:r>
        <w:rPr>
          <w:rFonts w:hint="eastAsia" w:ascii="方正仿宋_GBK" w:hAnsi="Times New Roman" w:eastAsia="方正仿宋_GBK" w:cs="Times New Roman"/>
          <w:b w:val="0"/>
          <w:bCs w:val="0"/>
        </w:rPr>
        <w:t>政府投资应当与两江新区经济社会发展水平和财政收支状况相适应。</w:t>
      </w:r>
    </w:p>
    <w:p>
      <w:pPr>
        <w:pStyle w:val="34"/>
        <w:spacing w:line="360" w:lineRule="auto"/>
        <w:ind w:firstLine="640"/>
        <w:rPr>
          <w:rFonts w:ascii="方正仿宋_GBK" w:eastAsia="方正仿宋_GBK"/>
          <w:sz w:val="32"/>
          <w:szCs w:val="32"/>
        </w:rPr>
      </w:pPr>
      <w:r>
        <w:rPr>
          <w:rFonts w:hint="eastAsia" w:ascii="方正仿宋_GBK" w:eastAsia="方正仿宋_GBK"/>
          <w:sz w:val="32"/>
          <w:szCs w:val="32"/>
        </w:rPr>
        <w:t>管委会及有关部门应当加强对政府投资资金的预算约束，不得违法违规举借债务筹措政府投资资金</w:t>
      </w:r>
      <w:r>
        <w:rPr>
          <w:rFonts w:hint="eastAsia" w:ascii="方正仿宋_GBK" w:hAnsi="Times New Roman" w:eastAsia="方正仿宋_GBK" w:cs="Times New Roman"/>
          <w:sz w:val="32"/>
          <w:szCs w:val="32"/>
        </w:rPr>
        <w:t>。</w:t>
      </w:r>
      <w:bookmarkEnd w:id="1"/>
    </w:p>
    <w:p>
      <w:pPr>
        <w:pStyle w:val="3"/>
        <w:keepNext w:val="0"/>
        <w:keepLines w:val="0"/>
        <w:numPr>
          <w:ilvl w:val="0"/>
          <w:numId w:val="1"/>
        </w:numPr>
        <w:spacing w:before="156" w:beforeLines="50" w:after="0" w:line="360" w:lineRule="auto"/>
        <w:ind w:left="0" w:firstLine="566" w:firstLineChars="177"/>
        <w:rPr>
          <w:rFonts w:ascii="方正仿宋_GBK" w:hAnsi="Times New Roman" w:eastAsia="方正仿宋_GBK" w:cs="Times New Roman"/>
          <w:b w:val="0"/>
          <w:bCs w:val="0"/>
        </w:rPr>
      </w:pPr>
      <w:r>
        <w:rPr>
          <w:rFonts w:hint="eastAsia" w:ascii="方正仿宋_GBK" w:hAnsi="Times New Roman" w:eastAsia="方正仿宋_GBK" w:cs="Times New Roman"/>
          <w:b w:val="0"/>
          <w:bCs w:val="0"/>
        </w:rPr>
        <w:t>政府投资资金按项目安排，以直接投资方式为主；对确需支持的经营性项目，主要采取资本金注入方式，也可以适当采取投资补助、贷款贴息等方式。</w:t>
      </w:r>
    </w:p>
    <w:p>
      <w:pPr>
        <w:pStyle w:val="34"/>
        <w:spacing w:line="360" w:lineRule="auto"/>
        <w:ind w:firstLine="640"/>
        <w:rPr>
          <w:rFonts w:ascii="方正仿宋_GBK" w:hAnsi="Times New Roman" w:eastAsia="方正仿宋_GBK" w:cs="Times New Roman"/>
          <w:sz w:val="32"/>
          <w:szCs w:val="32"/>
        </w:rPr>
      </w:pPr>
      <w:r>
        <w:rPr>
          <w:rFonts w:hint="eastAsia" w:ascii="方正仿宋_GBK" w:hAnsi="Times New Roman" w:eastAsia="方正仿宋_GBK" w:cs="Times New Roman"/>
          <w:sz w:val="32"/>
          <w:szCs w:val="32"/>
        </w:rPr>
        <w:t>（一）直接投资是指全部或者主要使用政府投资资金以财政拨款方式作为项目建设资金。直接投资所形成的资产属于国有资产，按照国有资产管理的有关规定进行管理；</w:t>
      </w:r>
    </w:p>
    <w:p>
      <w:pPr>
        <w:pStyle w:val="34"/>
        <w:spacing w:line="360" w:lineRule="auto"/>
        <w:ind w:firstLine="640"/>
        <w:rPr>
          <w:rFonts w:ascii="方正仿宋_GBK" w:hAnsi="Times New Roman" w:eastAsia="方正仿宋_GBK" w:cs="Times New Roman"/>
          <w:sz w:val="32"/>
          <w:szCs w:val="32"/>
        </w:rPr>
      </w:pPr>
      <w:r>
        <w:rPr>
          <w:rFonts w:hint="eastAsia" w:ascii="方正仿宋_GBK" w:hAnsi="Times New Roman" w:eastAsia="方正仿宋_GBK" w:cs="Times New Roman"/>
          <w:sz w:val="32"/>
          <w:szCs w:val="32"/>
        </w:rPr>
        <w:t>（二）资本金注入是指使用政府投资资金作为项目全部或者部分资本金。资本金注入所形成的对应资产属于国有股权，由有关部门或者其他机构依法行使出资人权利；</w:t>
      </w:r>
    </w:p>
    <w:p>
      <w:pPr>
        <w:pStyle w:val="34"/>
        <w:spacing w:line="360" w:lineRule="auto"/>
        <w:ind w:firstLine="640"/>
        <w:rPr>
          <w:rFonts w:ascii="方正仿宋_GBK" w:hAnsi="Times New Roman" w:eastAsia="方正仿宋_GBK" w:cs="Times New Roman"/>
          <w:sz w:val="32"/>
          <w:szCs w:val="32"/>
        </w:rPr>
      </w:pPr>
      <w:r>
        <w:rPr>
          <w:rFonts w:hint="eastAsia" w:ascii="方正仿宋_GBK" w:hAnsi="Times New Roman" w:eastAsia="方正仿宋_GBK" w:cs="Times New Roman"/>
          <w:sz w:val="32"/>
          <w:szCs w:val="32"/>
        </w:rPr>
        <w:t>（三）投资补助或者贷款贴息是指使用政府投资资金对符合条件的项目给予资金支持，可以按一定限额或比例安排投资补助，也可以对项目使用的中长期贷款给予贷款利息补贴。投资补助或者贷款贴息所形成的对应资产属于项目法人。</w:t>
      </w:r>
      <w:bookmarkStart w:id="2" w:name="_Hlk66436028"/>
      <w:r>
        <w:rPr>
          <w:rFonts w:hint="eastAsia" w:ascii="方正仿宋_GBK" w:hAnsi="Times New Roman" w:eastAsia="方正仿宋_GBK" w:cs="Times New Roman"/>
          <w:sz w:val="32"/>
          <w:szCs w:val="32"/>
        </w:rPr>
        <w:t>采取投资补助、贷款贴息等方式安排政府投资资金的，项目单位应当按照国家和重庆市有关规定办理手续。</w:t>
      </w:r>
      <w:bookmarkEnd w:id="2"/>
    </w:p>
    <w:p>
      <w:pPr>
        <w:pStyle w:val="34"/>
        <w:spacing w:line="360" w:lineRule="auto"/>
        <w:ind w:firstLine="640"/>
        <w:rPr>
          <w:rFonts w:ascii="方正仿宋_GBK" w:hAnsi="Times New Roman" w:eastAsia="方正仿宋_GBK" w:cs="Times New Roman"/>
          <w:sz w:val="32"/>
          <w:szCs w:val="32"/>
        </w:rPr>
      </w:pPr>
      <w:r>
        <w:rPr>
          <w:rFonts w:hint="eastAsia" w:ascii="方正仿宋_GBK" w:hAnsi="Times New Roman" w:eastAsia="方正仿宋_GBK" w:cs="Times New Roman"/>
          <w:sz w:val="32"/>
          <w:szCs w:val="32"/>
        </w:rPr>
        <w:t>安排政府投资资金，应当符合推进市级与两江新区财政事权和支出责任划分改革的有关要求，并平等对待各类投资主体，不得设置歧视性条件。</w:t>
      </w:r>
    </w:p>
    <w:p>
      <w:pPr>
        <w:pStyle w:val="34"/>
        <w:spacing w:line="360" w:lineRule="auto"/>
        <w:ind w:firstLine="640"/>
        <w:rPr>
          <w:rFonts w:ascii="方正仿宋_GBK" w:hAnsi="Times New Roman" w:eastAsia="方正仿宋_GBK" w:cs="Times New Roman"/>
          <w:sz w:val="32"/>
          <w:szCs w:val="32"/>
        </w:rPr>
      </w:pPr>
      <w:r>
        <w:rPr>
          <w:rFonts w:hint="eastAsia" w:ascii="方正仿宋_GBK" w:hAnsi="Times New Roman" w:eastAsia="方正仿宋_GBK" w:cs="Times New Roman"/>
          <w:sz w:val="32"/>
          <w:szCs w:val="32"/>
        </w:rPr>
        <w:t>政府采取直接投资方式、资本金注入方式投资的项目，以下统称政府投资项目。</w:t>
      </w:r>
    </w:p>
    <w:p>
      <w:pPr>
        <w:pStyle w:val="3"/>
        <w:keepNext w:val="0"/>
        <w:keepLines w:val="0"/>
        <w:numPr>
          <w:ilvl w:val="0"/>
          <w:numId w:val="1"/>
        </w:numPr>
        <w:spacing w:before="156" w:beforeLines="50" w:after="0" w:line="360" w:lineRule="auto"/>
        <w:ind w:left="0" w:firstLine="566" w:firstLineChars="177"/>
        <w:rPr>
          <w:rFonts w:ascii="方正仿宋_GBK" w:hAnsi="Times New Roman" w:eastAsia="方正仿宋_GBK" w:cs="Times New Roman"/>
          <w:b w:val="0"/>
          <w:bCs w:val="0"/>
        </w:rPr>
      </w:pPr>
      <w:r>
        <w:rPr>
          <w:rFonts w:hint="eastAsia" w:ascii="方正仿宋_GBK" w:hAnsi="Times New Roman" w:eastAsia="方正仿宋_GBK" w:cs="Times New Roman"/>
          <w:b w:val="0"/>
          <w:bCs w:val="0"/>
        </w:rPr>
        <w:t>管委会建立重大项目调度联席会议制度，协调解决重大问题。</w:t>
      </w:r>
    </w:p>
    <w:p>
      <w:pPr>
        <w:pStyle w:val="34"/>
        <w:spacing w:line="360" w:lineRule="auto"/>
        <w:ind w:firstLine="640"/>
        <w:rPr>
          <w:rFonts w:ascii="方正仿宋_GBK" w:hAnsi="Times New Roman" w:eastAsia="方正仿宋_GBK" w:cs="Times New Roman"/>
          <w:sz w:val="32"/>
          <w:szCs w:val="32"/>
        </w:rPr>
      </w:pPr>
      <w:r>
        <w:rPr>
          <w:rFonts w:hint="eastAsia" w:ascii="方正仿宋_GBK" w:hAnsi="Times New Roman" w:eastAsia="方正仿宋_GBK" w:cs="Times New Roman"/>
          <w:sz w:val="32"/>
          <w:szCs w:val="32"/>
        </w:rPr>
        <w:t>发展改革部门作为政府投资主管部门，履行政府投资规划和计划的编制、组织实施、协调监督等投资综合管理职责。按照规定权限审批核定政府投资项目。</w:t>
      </w:r>
    </w:p>
    <w:p>
      <w:pPr>
        <w:pStyle w:val="34"/>
        <w:spacing w:line="360" w:lineRule="auto"/>
        <w:ind w:firstLine="640"/>
        <w:rPr>
          <w:rFonts w:ascii="方正仿宋_GBK" w:hAnsi="Times New Roman" w:eastAsia="方正仿宋_GBK" w:cs="Times New Roman"/>
          <w:sz w:val="32"/>
          <w:szCs w:val="32"/>
        </w:rPr>
      </w:pPr>
      <w:r>
        <w:rPr>
          <w:rFonts w:hint="eastAsia" w:ascii="方正仿宋_GBK" w:hAnsi="Times New Roman" w:eastAsia="方正仿宋_GBK" w:cs="Times New Roman"/>
          <w:sz w:val="32"/>
          <w:szCs w:val="32"/>
        </w:rPr>
        <w:t>财政部门负责政府投资资金的预算安排，办理资金拨付，依法对相关财务活动进行监督管理。</w:t>
      </w:r>
    </w:p>
    <w:p>
      <w:pPr>
        <w:pStyle w:val="34"/>
        <w:spacing w:line="360" w:lineRule="auto"/>
        <w:ind w:firstLine="640"/>
        <w:rPr>
          <w:rFonts w:ascii="方正仿宋_GBK" w:hAnsi="Times New Roman" w:eastAsia="方正仿宋_GBK" w:cs="Times New Roman"/>
          <w:sz w:val="32"/>
          <w:szCs w:val="32"/>
        </w:rPr>
      </w:pPr>
      <w:r>
        <w:rPr>
          <w:rFonts w:hint="eastAsia" w:ascii="方正仿宋_GBK" w:hAnsi="Times New Roman" w:eastAsia="方正仿宋_GBK" w:cs="Times New Roman"/>
          <w:sz w:val="32"/>
          <w:szCs w:val="32"/>
        </w:rPr>
        <w:t>教育、科技、经济信息、民政、住房建设、城市管理、交通、商务、文化旅游、卫生健康、国有资产监管、体育、大数据发展等有关部门（以下简称“行业部门”），</w:t>
      </w:r>
      <w:r>
        <w:rPr>
          <w:rFonts w:hint="eastAsia" w:ascii="方正仿宋_GBK" w:eastAsia="方正仿宋_GBK"/>
          <w:sz w:val="32"/>
          <w:szCs w:val="32"/>
        </w:rPr>
        <w:t>按照行业职责对各自管理范围内的政府投资项目进行管理和监督</w:t>
      </w:r>
      <w:r>
        <w:rPr>
          <w:rFonts w:hint="eastAsia" w:ascii="方正仿宋_GBK" w:hAnsi="Times New Roman" w:eastAsia="方正仿宋_GBK" w:cs="Times New Roman"/>
          <w:sz w:val="32"/>
          <w:szCs w:val="32"/>
        </w:rPr>
        <w:t>。</w:t>
      </w:r>
    </w:p>
    <w:p>
      <w:pPr>
        <w:pStyle w:val="34"/>
        <w:spacing w:line="360" w:lineRule="auto"/>
        <w:ind w:firstLine="640"/>
        <w:rPr>
          <w:rFonts w:ascii="方正仿宋_GBK" w:hAnsi="Times New Roman" w:eastAsia="方正仿宋_GBK" w:cs="Times New Roman"/>
          <w:sz w:val="32"/>
          <w:szCs w:val="32"/>
        </w:rPr>
      </w:pPr>
      <w:bookmarkStart w:id="3" w:name="_Hlk65483982"/>
      <w:r>
        <w:rPr>
          <w:rFonts w:hint="eastAsia" w:ascii="方正仿宋_GBK" w:hAnsi="Times New Roman" w:eastAsia="方正仿宋_GBK" w:cs="Times New Roman"/>
          <w:sz w:val="32"/>
          <w:szCs w:val="32"/>
        </w:rPr>
        <w:t>管委会授权的直属公司</w:t>
      </w:r>
      <w:bookmarkEnd w:id="3"/>
      <w:r>
        <w:rPr>
          <w:rFonts w:hint="eastAsia" w:ascii="方正仿宋_GBK" w:hAnsi="Times New Roman" w:eastAsia="方正仿宋_GBK" w:cs="Times New Roman"/>
          <w:sz w:val="32"/>
          <w:szCs w:val="32"/>
        </w:rPr>
        <w:t>（以下简称</w:t>
      </w:r>
      <w:bookmarkStart w:id="4" w:name="_Hlk65483954"/>
      <w:r>
        <w:rPr>
          <w:rFonts w:hint="eastAsia" w:ascii="方正仿宋_GBK" w:hAnsi="Times New Roman" w:eastAsia="方正仿宋_GBK" w:cs="Times New Roman"/>
          <w:sz w:val="32"/>
          <w:szCs w:val="32"/>
        </w:rPr>
        <w:t>“主管单位”</w:t>
      </w:r>
      <w:bookmarkEnd w:id="4"/>
      <w:r>
        <w:rPr>
          <w:rFonts w:hint="eastAsia" w:ascii="方正仿宋_GBK" w:hAnsi="Times New Roman" w:eastAsia="方正仿宋_GBK" w:cs="Times New Roman"/>
          <w:sz w:val="32"/>
          <w:szCs w:val="32"/>
        </w:rPr>
        <w:t>）按照各自负责的区域划分，承担责任范围内政府投资项目授权管理的相关工作。</w:t>
      </w:r>
    </w:p>
    <w:p>
      <w:pPr>
        <w:pStyle w:val="34"/>
        <w:spacing w:line="360" w:lineRule="auto"/>
        <w:ind w:firstLine="640"/>
        <w:rPr>
          <w:rFonts w:ascii="方正仿宋_GBK" w:hAnsi="Times New Roman" w:eastAsia="方正仿宋_GBK" w:cs="Times New Roman"/>
          <w:sz w:val="32"/>
          <w:szCs w:val="32"/>
        </w:rPr>
      </w:pPr>
      <w:bookmarkStart w:id="5" w:name="_Hlk21526167"/>
      <w:r>
        <w:rPr>
          <w:rFonts w:hint="eastAsia" w:ascii="方正仿宋_GBK" w:hAnsi="Times New Roman" w:eastAsia="方正仿宋_GBK" w:cs="Times New Roman"/>
          <w:sz w:val="32"/>
          <w:szCs w:val="32"/>
        </w:rPr>
        <w:t>规划自然资源</w:t>
      </w:r>
      <w:bookmarkEnd w:id="5"/>
      <w:r>
        <w:rPr>
          <w:rFonts w:hint="eastAsia" w:ascii="方正仿宋_GBK" w:hAnsi="Times New Roman" w:eastAsia="方正仿宋_GBK" w:cs="Times New Roman"/>
          <w:sz w:val="32"/>
          <w:szCs w:val="32"/>
        </w:rPr>
        <w:t>、生态环境、审计、纪检监察等驻区机构按各自职责对政府投资项目进行管理和监督。</w:t>
      </w:r>
    </w:p>
    <w:p>
      <w:pPr>
        <w:pStyle w:val="3"/>
        <w:keepNext w:val="0"/>
        <w:keepLines w:val="0"/>
        <w:numPr>
          <w:ilvl w:val="0"/>
          <w:numId w:val="1"/>
        </w:numPr>
        <w:spacing w:before="156" w:beforeLines="50" w:after="0" w:line="360" w:lineRule="auto"/>
        <w:ind w:left="0" w:firstLine="566" w:firstLineChars="177"/>
        <w:rPr>
          <w:rFonts w:ascii="方正仿宋_GBK" w:hAnsi="Times New Roman" w:eastAsia="方正仿宋_GBK" w:cs="Times New Roman"/>
          <w:b w:val="0"/>
          <w:bCs w:val="0"/>
        </w:rPr>
      </w:pPr>
      <w:bookmarkStart w:id="6" w:name="_Hlk17727387"/>
      <w:r>
        <w:rPr>
          <w:rFonts w:hint="eastAsia" w:ascii="方正仿宋_GBK" w:hAnsi="Times New Roman" w:eastAsia="方正仿宋_GBK" w:cs="Times New Roman"/>
          <w:b w:val="0"/>
          <w:bCs w:val="0"/>
        </w:rPr>
        <w:t>政府投资项目实行项目法人责任制，项目法人承担项目主体责任。</w:t>
      </w:r>
    </w:p>
    <w:p>
      <w:pPr>
        <w:spacing w:line="360" w:lineRule="auto"/>
        <w:ind w:firstLine="640" w:firstLineChars="200"/>
        <w:rPr>
          <w:rFonts w:ascii="方正仿宋_GBK" w:hAnsi="Times New Roman" w:eastAsia="方正仿宋_GBK" w:cs="Times New Roman"/>
          <w:sz w:val="32"/>
          <w:szCs w:val="32"/>
        </w:rPr>
      </w:pPr>
      <w:r>
        <w:rPr>
          <w:rFonts w:hint="eastAsia" w:ascii="方正仿宋_GBK" w:hAnsi="Times New Roman" w:eastAsia="方正仿宋_GBK" w:cs="Times New Roman"/>
          <w:sz w:val="32"/>
          <w:szCs w:val="32"/>
        </w:rPr>
        <w:t>项目法人作为政府投资项目的实施者（以下简称“项目单位”），对项目的审查报批、资金筹措、建设实施、生产经营、资产管理等全过程负责。需新设法人的项目，可由行业部门（主管单位）作为项目单位先行开展前期工作，待项目法人依法成立后，再由新设立的项目法人承继项目主体责任。</w:t>
      </w:r>
      <w:bookmarkEnd w:id="6"/>
    </w:p>
    <w:p>
      <w:pPr>
        <w:spacing w:line="360" w:lineRule="auto"/>
        <w:ind w:firstLine="640" w:firstLineChars="200"/>
        <w:rPr>
          <w:rFonts w:ascii="方正仿宋_GBK" w:hAnsi="Times New Roman" w:eastAsia="方正仿宋_GBK" w:cs="Times New Roman"/>
          <w:sz w:val="32"/>
          <w:szCs w:val="32"/>
        </w:rPr>
      </w:pPr>
      <w:r>
        <w:rPr>
          <w:rFonts w:hint="eastAsia" w:ascii="方正仿宋_GBK" w:hAnsi="Times New Roman" w:eastAsia="方正仿宋_GBK" w:cs="Times New Roman"/>
          <w:sz w:val="32"/>
          <w:szCs w:val="32"/>
        </w:rPr>
        <w:t>项目单位编制项目建议书或者可行性研究报告时，应当提出项目法人责任制实施方案，发展改革部门在审批项目建议书或者可行性研究报告时应当对项目法人予以明确。</w:t>
      </w:r>
    </w:p>
    <w:p>
      <w:pPr>
        <w:pStyle w:val="3"/>
        <w:keepNext w:val="0"/>
        <w:keepLines w:val="0"/>
        <w:numPr>
          <w:ilvl w:val="0"/>
          <w:numId w:val="1"/>
        </w:numPr>
        <w:spacing w:before="156" w:beforeLines="50" w:after="0" w:line="360" w:lineRule="auto"/>
        <w:ind w:left="0" w:firstLine="566" w:firstLineChars="177"/>
        <w:rPr>
          <w:rFonts w:ascii="方正仿宋_GBK" w:hAnsi="Times New Roman" w:eastAsia="方正仿宋_GBK" w:cs="Times New Roman"/>
          <w:b w:val="0"/>
          <w:bCs w:val="0"/>
        </w:rPr>
      </w:pPr>
      <w:r>
        <w:rPr>
          <w:rFonts w:hint="eastAsia" w:ascii="方正仿宋_GBK" w:hAnsi="Times New Roman" w:eastAsia="方正仿宋_GBK" w:cs="Times New Roman"/>
          <w:b w:val="0"/>
          <w:bCs w:val="0"/>
        </w:rPr>
        <w:t>项目</w:t>
      </w:r>
      <w:bookmarkStart w:id="7" w:name="_Hlk63081559"/>
      <w:r>
        <w:rPr>
          <w:rFonts w:hint="eastAsia" w:ascii="方正仿宋_GBK" w:hAnsi="Times New Roman" w:eastAsia="方正仿宋_GBK" w:cs="Times New Roman"/>
          <w:b w:val="0"/>
          <w:bCs w:val="0"/>
        </w:rPr>
        <w:t>单位</w:t>
      </w:r>
      <w:bookmarkEnd w:id="7"/>
      <w:r>
        <w:rPr>
          <w:rFonts w:hint="eastAsia" w:ascii="方正仿宋_GBK" w:hAnsi="Times New Roman" w:eastAsia="方正仿宋_GBK" w:cs="Times New Roman"/>
          <w:b w:val="0"/>
          <w:bCs w:val="0"/>
        </w:rPr>
        <w:t>自身不具备管理能力的公益性项目，原则上应实行建设管理代理制，由委托主体和建设管理代理机构按代理合同约定代理范围，共同行使项目法人职责。</w:t>
      </w:r>
    </w:p>
    <w:p>
      <w:pPr>
        <w:spacing w:line="360" w:lineRule="auto"/>
        <w:ind w:firstLine="640" w:firstLineChars="200"/>
        <w:rPr>
          <w:rFonts w:ascii="方正仿宋_GBK" w:hAnsi="Times New Roman" w:eastAsia="方正仿宋_GBK" w:cs="Times New Roman"/>
          <w:sz w:val="32"/>
          <w:szCs w:val="32"/>
        </w:rPr>
      </w:pPr>
      <w:r>
        <w:rPr>
          <w:rFonts w:hint="eastAsia" w:ascii="方正仿宋_GBK" w:hAnsi="Times New Roman" w:eastAsia="方正仿宋_GBK" w:cs="Times New Roman"/>
          <w:sz w:val="32"/>
          <w:szCs w:val="32"/>
        </w:rPr>
        <w:t>项目单位应当在项目建议书或者可行性研究报告中提出建设管理代理制实施方案，发展改革部门在审批项目建议书或者可行性研究报告时应当对建设管理代理情况予以明确。</w:t>
      </w:r>
    </w:p>
    <w:p>
      <w:pPr>
        <w:spacing w:line="360" w:lineRule="auto"/>
        <w:ind w:firstLine="640" w:firstLineChars="200"/>
        <w:rPr>
          <w:rFonts w:ascii="方正仿宋_GBK" w:eastAsia="方正仿宋_GBK"/>
          <w:sz w:val="32"/>
          <w:szCs w:val="32"/>
        </w:rPr>
      </w:pPr>
      <w:r>
        <w:rPr>
          <w:rFonts w:hint="eastAsia" w:ascii="方正仿宋_GBK" w:eastAsia="方正仿宋_GBK"/>
          <w:sz w:val="32"/>
          <w:szCs w:val="32"/>
        </w:rPr>
        <w:t>代建项目管理按照国家、重庆市及两江新区相关规定执行。</w:t>
      </w:r>
    </w:p>
    <w:p>
      <w:pPr>
        <w:pStyle w:val="3"/>
        <w:keepNext w:val="0"/>
        <w:keepLines w:val="0"/>
        <w:numPr>
          <w:ilvl w:val="0"/>
          <w:numId w:val="1"/>
        </w:numPr>
        <w:spacing w:before="156" w:beforeLines="50" w:after="0" w:line="360" w:lineRule="auto"/>
        <w:ind w:left="0" w:firstLine="566" w:firstLineChars="177"/>
        <w:rPr>
          <w:rFonts w:ascii="方正仿宋_GBK" w:hAnsi="Times New Roman" w:eastAsia="方正仿宋_GBK" w:cs="Times New Roman"/>
          <w:b w:val="0"/>
          <w:bCs w:val="0"/>
        </w:rPr>
      </w:pPr>
      <w:r>
        <w:rPr>
          <w:rFonts w:hint="eastAsia" w:ascii="方正仿宋_GBK" w:hAnsi="Times New Roman" w:eastAsia="方正仿宋_GBK" w:cs="Times New Roman"/>
          <w:b w:val="0"/>
          <w:bCs w:val="0"/>
        </w:rPr>
        <w:t>政府投资项目严格遵守国家相关法律法规规定，实行招标投标制、合同管理制、工程监理制、项目评审制、变更审查制、竣工验收制、决算审批制、项目稽察制、责任追究制和安全生产责任制等。</w:t>
      </w:r>
    </w:p>
    <w:p>
      <w:pPr>
        <w:pStyle w:val="2"/>
        <w:keepNext w:val="0"/>
        <w:keepLines w:val="0"/>
        <w:spacing w:before="312" w:beforeLines="100" w:after="156" w:afterLines="50" w:line="360" w:lineRule="auto"/>
        <w:jc w:val="center"/>
        <w:rPr>
          <w:rFonts w:ascii="方正小标宋_GBK" w:hAnsi="Times New Roman" w:eastAsia="方正小标宋_GBK" w:cs="Times New Roman"/>
          <w:b w:val="0"/>
          <w:bCs w:val="0"/>
          <w:sz w:val="32"/>
          <w:szCs w:val="32"/>
        </w:rPr>
      </w:pPr>
      <w:r>
        <w:rPr>
          <w:rFonts w:hint="eastAsia" w:ascii="方正小标宋_GBK" w:hAnsi="Times New Roman" w:eastAsia="方正小标宋_GBK" w:cs="Times New Roman"/>
          <w:b w:val="0"/>
          <w:bCs w:val="0"/>
          <w:sz w:val="32"/>
          <w:szCs w:val="32"/>
        </w:rPr>
        <w:t>第二章 政府投资决策</w:t>
      </w:r>
    </w:p>
    <w:p>
      <w:pPr>
        <w:pStyle w:val="3"/>
        <w:keepNext w:val="0"/>
        <w:keepLines w:val="0"/>
        <w:numPr>
          <w:ilvl w:val="0"/>
          <w:numId w:val="1"/>
        </w:numPr>
        <w:spacing w:before="156" w:beforeLines="50" w:after="0" w:line="360" w:lineRule="auto"/>
        <w:ind w:left="0" w:firstLine="566" w:firstLineChars="177"/>
        <w:rPr>
          <w:rFonts w:ascii="方正仿宋_GBK" w:hAnsi="Times New Roman" w:eastAsia="方正仿宋_GBK" w:cs="Times New Roman"/>
          <w:b w:val="0"/>
          <w:bCs w:val="0"/>
        </w:rPr>
      </w:pPr>
      <w:r>
        <w:rPr>
          <w:rFonts w:hint="eastAsia" w:ascii="方正仿宋_GBK" w:hAnsi="Times New Roman" w:eastAsia="方正仿宋_GBK" w:cs="Times New Roman"/>
          <w:b w:val="0"/>
          <w:bCs w:val="0"/>
        </w:rPr>
        <w:t>管委会根据两江新区国民经济和社会发展规划、中期财政规划和国家宏观调控政策，结合财政收支状况，统筹安排使用政府投资资金的项目，规范使用各类政府投资资金。</w:t>
      </w:r>
    </w:p>
    <w:p>
      <w:pPr>
        <w:pStyle w:val="3"/>
        <w:keepNext w:val="0"/>
        <w:keepLines w:val="0"/>
        <w:numPr>
          <w:ilvl w:val="0"/>
          <w:numId w:val="1"/>
        </w:numPr>
        <w:spacing w:before="156" w:beforeLines="50" w:after="0" w:line="360" w:lineRule="auto"/>
        <w:ind w:left="0" w:firstLine="566" w:firstLineChars="177"/>
        <w:rPr>
          <w:rFonts w:ascii="方正仿宋_GBK" w:hAnsi="Times New Roman" w:eastAsia="方正仿宋_GBK" w:cs="Times New Roman"/>
          <w:b w:val="0"/>
          <w:bCs w:val="0"/>
        </w:rPr>
      </w:pPr>
      <w:r>
        <w:rPr>
          <w:rFonts w:hint="eastAsia" w:ascii="方正仿宋_GBK" w:hAnsi="Times New Roman" w:eastAsia="方正仿宋_GBK" w:cs="Times New Roman"/>
          <w:b w:val="0"/>
          <w:bCs w:val="0"/>
        </w:rPr>
        <w:t>政府投资项目按照“五年储备、三年规划、年度计划”的机制进行储备并组织实施。</w:t>
      </w:r>
    </w:p>
    <w:p>
      <w:pPr>
        <w:spacing w:line="360" w:lineRule="auto"/>
        <w:ind w:firstLine="640" w:firstLineChars="200"/>
        <w:rPr>
          <w:rFonts w:ascii="方正仿宋_GBK" w:hAnsi="Times New Roman" w:eastAsia="方正仿宋_GBK" w:cs="Times New Roman"/>
          <w:sz w:val="32"/>
          <w:szCs w:val="32"/>
        </w:rPr>
      </w:pPr>
      <w:r>
        <w:rPr>
          <w:rFonts w:hint="eastAsia" w:ascii="方正仿宋_GBK" w:hAnsi="Times New Roman" w:eastAsia="方正仿宋_GBK" w:cs="Times New Roman"/>
          <w:sz w:val="32"/>
          <w:szCs w:val="32"/>
        </w:rPr>
        <w:t>行业部门（主管单位）应当通过两江新区投资项目管理系统，同步形成本行业的五年规划政府投资项目建议储备清单，并提交发展改革部门统筹纳入两江新区五年政府投资项目储备库。</w:t>
      </w:r>
    </w:p>
    <w:p>
      <w:pPr>
        <w:spacing w:line="360" w:lineRule="auto"/>
        <w:ind w:firstLine="640" w:firstLineChars="200"/>
        <w:rPr>
          <w:rFonts w:ascii="方正仿宋_GBK" w:hAnsi="Times New Roman" w:eastAsia="方正仿宋_GBK" w:cs="Times New Roman"/>
          <w:sz w:val="32"/>
          <w:szCs w:val="32"/>
        </w:rPr>
      </w:pPr>
      <w:r>
        <w:rPr>
          <w:rFonts w:hint="eastAsia" w:ascii="方正仿宋_GBK" w:hAnsi="Times New Roman" w:eastAsia="方正仿宋_GBK" w:cs="Times New Roman"/>
          <w:sz w:val="32"/>
          <w:szCs w:val="32"/>
        </w:rPr>
        <w:t>行业部门（主管单位）应以五年储备项目为基础，每年滚动编制本行业政府投资项目三年建议规划。发展改革部门统筹衔接发展规划、三年滚动财政规划，编制两江新区政府投资项目三年滚动规划。</w:t>
      </w:r>
    </w:p>
    <w:p>
      <w:pPr>
        <w:spacing w:line="360" w:lineRule="auto"/>
        <w:ind w:firstLine="640" w:firstLineChars="200"/>
        <w:rPr>
          <w:rFonts w:ascii="方正仿宋_GBK" w:hAnsi="Times New Roman" w:eastAsia="方正仿宋_GBK" w:cs="Times New Roman"/>
          <w:sz w:val="32"/>
          <w:szCs w:val="32"/>
        </w:rPr>
      </w:pPr>
      <w:r>
        <w:rPr>
          <w:rFonts w:hint="eastAsia" w:ascii="方正仿宋_GBK" w:hAnsi="Times New Roman" w:eastAsia="方正仿宋_GBK" w:cs="Times New Roman"/>
          <w:sz w:val="32"/>
          <w:szCs w:val="32"/>
        </w:rPr>
        <w:t>纳入三年滚动规划的项目原则上应满足以下条件：</w:t>
      </w:r>
    </w:p>
    <w:p>
      <w:pPr>
        <w:spacing w:line="360" w:lineRule="auto"/>
        <w:ind w:firstLine="640" w:firstLineChars="200"/>
        <w:rPr>
          <w:rFonts w:ascii="方正仿宋_GBK" w:hAnsi="Times New Roman" w:eastAsia="方正仿宋_GBK" w:cs="Times New Roman"/>
          <w:sz w:val="32"/>
          <w:szCs w:val="32"/>
        </w:rPr>
      </w:pPr>
      <w:r>
        <w:rPr>
          <w:rFonts w:hint="eastAsia" w:ascii="方正仿宋_GBK" w:hAnsi="Times New Roman" w:eastAsia="方正仿宋_GBK" w:cs="Times New Roman"/>
          <w:sz w:val="32"/>
          <w:szCs w:val="32"/>
        </w:rPr>
        <w:t>（一）符合国民经济和社会发展中长期规划；</w:t>
      </w:r>
    </w:p>
    <w:p>
      <w:pPr>
        <w:spacing w:line="360" w:lineRule="auto"/>
        <w:ind w:firstLine="640" w:firstLineChars="200"/>
        <w:rPr>
          <w:rFonts w:ascii="方正仿宋_GBK" w:hAnsi="Times New Roman" w:eastAsia="方正仿宋_GBK" w:cs="Times New Roman"/>
          <w:sz w:val="32"/>
          <w:szCs w:val="32"/>
        </w:rPr>
      </w:pPr>
      <w:r>
        <w:rPr>
          <w:rFonts w:hint="eastAsia" w:ascii="方正仿宋_GBK" w:hAnsi="Times New Roman" w:eastAsia="方正仿宋_GBK" w:cs="Times New Roman"/>
          <w:sz w:val="32"/>
          <w:szCs w:val="32"/>
        </w:rPr>
        <w:t>（二）符合城市总体规划、土地利用总体规划和相关行业规划；</w:t>
      </w:r>
    </w:p>
    <w:p>
      <w:pPr>
        <w:spacing w:line="360" w:lineRule="auto"/>
        <w:ind w:firstLine="640" w:firstLineChars="200"/>
        <w:rPr>
          <w:rFonts w:ascii="方正仿宋_GBK" w:hAnsi="Times New Roman" w:eastAsia="方正仿宋_GBK" w:cs="Times New Roman"/>
          <w:sz w:val="32"/>
          <w:szCs w:val="32"/>
        </w:rPr>
      </w:pPr>
      <w:r>
        <w:rPr>
          <w:rFonts w:hint="eastAsia" w:ascii="方正仿宋_GBK" w:hAnsi="Times New Roman" w:eastAsia="方正仿宋_GBK" w:cs="Times New Roman"/>
          <w:sz w:val="32"/>
          <w:szCs w:val="32"/>
        </w:rPr>
        <w:t>（三）符合国家产业政策和环境保护法律、法规规定；</w:t>
      </w:r>
    </w:p>
    <w:p>
      <w:pPr>
        <w:spacing w:line="360" w:lineRule="auto"/>
        <w:ind w:firstLine="640" w:firstLineChars="200"/>
        <w:rPr>
          <w:rFonts w:ascii="方正仿宋_GBK" w:hAnsi="Times New Roman" w:eastAsia="方正仿宋_GBK" w:cs="Times New Roman"/>
          <w:sz w:val="32"/>
          <w:szCs w:val="32"/>
        </w:rPr>
      </w:pPr>
      <w:r>
        <w:rPr>
          <w:rFonts w:hint="eastAsia" w:ascii="方正仿宋_GBK" w:hAnsi="Times New Roman" w:eastAsia="方正仿宋_GBK" w:cs="Times New Roman"/>
          <w:sz w:val="32"/>
          <w:szCs w:val="32"/>
        </w:rPr>
        <w:t>（四）根据国家及重庆市有关要求实施的政府投资项目；</w:t>
      </w:r>
    </w:p>
    <w:p>
      <w:pPr>
        <w:spacing w:line="360" w:lineRule="auto"/>
        <w:ind w:firstLine="640" w:firstLineChars="200"/>
        <w:rPr>
          <w:rFonts w:ascii="方正仿宋_GBK" w:hAnsi="Times New Roman" w:eastAsia="方正仿宋_GBK" w:cs="Times New Roman"/>
          <w:sz w:val="32"/>
          <w:szCs w:val="32"/>
        </w:rPr>
      </w:pPr>
      <w:r>
        <w:rPr>
          <w:rFonts w:hint="eastAsia" w:ascii="方正仿宋_GBK" w:hAnsi="Times New Roman" w:eastAsia="方正仿宋_GBK" w:cs="Times New Roman"/>
          <w:sz w:val="32"/>
          <w:szCs w:val="32"/>
        </w:rPr>
        <w:t>（五）经管委会批准同意实施的政府投资项目。</w:t>
      </w:r>
    </w:p>
    <w:p>
      <w:pPr>
        <w:pStyle w:val="3"/>
        <w:keepNext w:val="0"/>
        <w:keepLines w:val="0"/>
        <w:numPr>
          <w:ilvl w:val="0"/>
          <w:numId w:val="1"/>
        </w:numPr>
        <w:spacing w:before="156" w:beforeLines="50" w:after="0" w:line="360" w:lineRule="auto"/>
        <w:ind w:left="0" w:firstLine="566" w:firstLineChars="177"/>
        <w:rPr>
          <w:rFonts w:ascii="方正仿宋_GBK" w:hAnsi="Times New Roman" w:eastAsia="方正仿宋_GBK" w:cs="Times New Roman"/>
          <w:b w:val="0"/>
          <w:bCs w:val="0"/>
        </w:rPr>
      </w:pPr>
      <w:r>
        <w:rPr>
          <w:rFonts w:hint="eastAsia" w:ascii="方正仿宋_GBK" w:hAnsi="Times New Roman" w:eastAsia="方正仿宋_GBK" w:cs="Times New Roman"/>
          <w:b w:val="0"/>
          <w:bCs w:val="0"/>
        </w:rPr>
        <w:t>规划自然资源、生态环境等部门，对列入政府投资项目三年滚动规划的项目涉及的国土空间规划、建设用地、环境准入等建设条件进行核实，并将核实结果报送发展改革部门和有关行业部门（主管单位）。</w:t>
      </w:r>
    </w:p>
    <w:p>
      <w:pPr>
        <w:pStyle w:val="3"/>
        <w:keepNext w:val="0"/>
        <w:keepLines w:val="0"/>
        <w:numPr>
          <w:ilvl w:val="0"/>
          <w:numId w:val="1"/>
        </w:numPr>
        <w:spacing w:before="156" w:beforeLines="50" w:after="0" w:line="360" w:lineRule="auto"/>
        <w:ind w:left="0" w:firstLine="566" w:firstLineChars="177"/>
        <w:rPr>
          <w:rFonts w:ascii="方正仿宋_GBK" w:hAnsi="Times New Roman" w:eastAsia="方正仿宋_GBK" w:cs="Times New Roman"/>
          <w:b w:val="0"/>
          <w:bCs w:val="0"/>
        </w:rPr>
      </w:pPr>
      <w:bookmarkStart w:id="8" w:name="_Hlk63083047"/>
      <w:r>
        <w:rPr>
          <w:rFonts w:hint="eastAsia" w:ascii="方正仿宋_GBK" w:hAnsi="Times New Roman" w:eastAsia="方正仿宋_GBK" w:cs="Times New Roman"/>
          <w:b w:val="0"/>
          <w:bCs w:val="0"/>
        </w:rPr>
        <w:t>政府投资</w:t>
      </w:r>
      <w:bookmarkEnd w:id="8"/>
      <w:r>
        <w:rPr>
          <w:rFonts w:hint="eastAsia" w:ascii="方正仿宋_GBK" w:hAnsi="Times New Roman" w:eastAsia="方正仿宋_GBK" w:cs="Times New Roman"/>
          <w:b w:val="0"/>
          <w:bCs w:val="0"/>
        </w:rPr>
        <w:t>项目的项目单位应当自行或委托具有相应能力的咨询机构编制项目建议书、可行性研究报告、初步设计和概算，以及依法应当附具其他文件，并按照政府投资管理权限和规定的程序，报有关部门审批。</w:t>
      </w:r>
    </w:p>
    <w:p>
      <w:pPr>
        <w:spacing w:line="360" w:lineRule="auto"/>
        <w:ind w:firstLine="640" w:firstLineChars="200"/>
        <w:rPr>
          <w:rFonts w:ascii="方正仿宋_GBK" w:eastAsia="方正仿宋_GBK"/>
          <w:sz w:val="32"/>
          <w:szCs w:val="32"/>
        </w:rPr>
      </w:pPr>
      <w:r>
        <w:rPr>
          <w:rFonts w:hint="eastAsia" w:ascii="方正仿宋_GBK" w:eastAsia="方正仿宋_GBK"/>
          <w:sz w:val="32"/>
          <w:szCs w:val="32"/>
        </w:rPr>
        <w:t>项目单位应当加强政府投资项目的前期工作，保证前期工作的深度达到规定的要求，并对项目建议书、可行性研究报告、初步设计以及依法应当附具的其他文件的真实性负责。</w:t>
      </w:r>
    </w:p>
    <w:p>
      <w:pPr>
        <w:spacing w:line="360" w:lineRule="auto"/>
        <w:ind w:firstLine="640" w:firstLineChars="200"/>
        <w:rPr>
          <w:rFonts w:ascii="方正仿宋_GBK" w:eastAsia="方正仿宋_GBK"/>
          <w:sz w:val="32"/>
          <w:szCs w:val="32"/>
        </w:rPr>
      </w:pPr>
      <w:r>
        <w:rPr>
          <w:rFonts w:hint="eastAsia" w:ascii="方正仿宋_GBK" w:eastAsia="方正仿宋_GBK"/>
          <w:sz w:val="32"/>
          <w:szCs w:val="32"/>
        </w:rPr>
        <w:t>已纳入三年滚动规划的政府投资项目，可以安排项目前期工作经费。项目</w:t>
      </w:r>
      <w:r>
        <w:rPr>
          <w:rFonts w:hint="eastAsia" w:ascii="方正仿宋_GBK" w:hAnsi="Times New Roman" w:eastAsia="方正仿宋_GBK" w:cs="Times New Roman"/>
          <w:sz w:val="32"/>
          <w:szCs w:val="32"/>
        </w:rPr>
        <w:t>单位应当根据下一年拟开展前期工作的内容、项目匡算投资和相关收费标准提出申请，经行业部门（主管单位）和财政部门共同核定后，报管委会审定后纳入年度财政预算。</w:t>
      </w:r>
    </w:p>
    <w:p>
      <w:pPr>
        <w:pStyle w:val="3"/>
        <w:keepNext w:val="0"/>
        <w:keepLines w:val="0"/>
        <w:numPr>
          <w:ilvl w:val="0"/>
          <w:numId w:val="1"/>
        </w:numPr>
        <w:spacing w:before="156" w:beforeLines="50" w:after="0" w:line="360" w:lineRule="auto"/>
        <w:ind w:left="0" w:firstLine="566" w:firstLineChars="177"/>
        <w:rPr>
          <w:rFonts w:ascii="方正仿宋_GBK" w:hAnsi="Times New Roman" w:eastAsia="方正仿宋_GBK" w:cs="Times New Roman"/>
          <w:b w:val="0"/>
          <w:bCs w:val="0"/>
        </w:rPr>
      </w:pPr>
      <w:r>
        <w:rPr>
          <w:rFonts w:hint="eastAsia" w:ascii="方正仿宋_GBK" w:hAnsi="Times New Roman" w:eastAsia="方正仿宋_GBK" w:cs="Times New Roman"/>
          <w:b w:val="0"/>
          <w:bCs w:val="0"/>
        </w:rPr>
        <w:t>政府投资项目前期工作经费实行国库集中支付。已明确项目单位的项目，项目单位应按照前期工作进度，申请使用前期工作经费。</w:t>
      </w:r>
    </w:p>
    <w:p>
      <w:pPr>
        <w:spacing w:line="360" w:lineRule="auto"/>
        <w:ind w:firstLine="640" w:firstLineChars="200"/>
        <w:rPr>
          <w:rFonts w:ascii="方正仿宋_GBK" w:hAnsi="Times New Roman" w:eastAsia="方正仿宋_GBK" w:cs="Times New Roman"/>
          <w:sz w:val="32"/>
          <w:szCs w:val="32"/>
        </w:rPr>
      </w:pPr>
      <w:r>
        <w:rPr>
          <w:rFonts w:hint="eastAsia" w:ascii="方正仿宋_GBK" w:hAnsi="Times New Roman" w:eastAsia="方正仿宋_GBK" w:cs="Times New Roman"/>
          <w:sz w:val="32"/>
          <w:szCs w:val="32"/>
        </w:rPr>
        <w:t>对批准开展前期工作的项目，其相应经费应按照相关规定计入项目建设总投资。当年未按计划完成或未支付经费的项目前期工作，项目单位应在下一年度计划编制阶段重新申报预算。因规划调整、技术经济论证不可行或其它客观原因导致项目终止，前期经费无法计入项目总投资的，其已发生的费用由项目单位报财政部门审核后，列入当期费用支出。</w:t>
      </w:r>
    </w:p>
    <w:p>
      <w:pPr>
        <w:spacing w:line="360" w:lineRule="auto"/>
        <w:ind w:firstLine="640" w:firstLineChars="200"/>
        <w:rPr>
          <w:rFonts w:ascii="方正仿宋_GBK" w:hAnsi="Times New Roman" w:eastAsia="方正仿宋_GBK" w:cs="Times New Roman"/>
          <w:sz w:val="32"/>
          <w:szCs w:val="32"/>
        </w:rPr>
      </w:pPr>
      <w:r>
        <w:rPr>
          <w:rFonts w:hint="eastAsia" w:ascii="方正仿宋_GBK" w:hAnsi="Times New Roman" w:eastAsia="方正仿宋_GBK" w:cs="Times New Roman"/>
          <w:sz w:val="32"/>
          <w:szCs w:val="32"/>
        </w:rPr>
        <w:t>项目单位应严格规范项目前期经费开支，不得超过相关收费指导标准及计费限价文件。</w:t>
      </w:r>
    </w:p>
    <w:p>
      <w:pPr>
        <w:pStyle w:val="3"/>
        <w:keepNext w:val="0"/>
        <w:keepLines w:val="0"/>
        <w:numPr>
          <w:ilvl w:val="0"/>
          <w:numId w:val="1"/>
        </w:numPr>
        <w:spacing w:before="156" w:beforeLines="50" w:after="0" w:line="360" w:lineRule="auto"/>
        <w:ind w:left="0" w:firstLine="566" w:firstLineChars="177"/>
        <w:rPr>
          <w:rFonts w:ascii="方正仿宋_GBK" w:hAnsi="Times New Roman" w:eastAsia="方正仿宋_GBK" w:cs="Times New Roman"/>
          <w:b w:val="0"/>
          <w:bCs w:val="0"/>
        </w:rPr>
      </w:pPr>
      <w:r>
        <w:rPr>
          <w:rFonts w:hint="eastAsia" w:ascii="方正仿宋_GBK" w:hAnsi="Times New Roman" w:eastAsia="方正仿宋_GBK" w:cs="Times New Roman"/>
          <w:b w:val="0"/>
          <w:bCs w:val="0"/>
        </w:rPr>
        <w:t>项目建议书应当初步分析项目建设的必要性和依据、拟建地点、拟建规模、资金筹措以及经济效益和社会效益等。</w:t>
      </w:r>
    </w:p>
    <w:p>
      <w:pPr>
        <w:spacing w:line="360" w:lineRule="auto"/>
        <w:ind w:firstLine="640" w:firstLineChars="200"/>
        <w:rPr>
          <w:rFonts w:ascii="方正仿宋_GBK" w:hAnsi="Times New Roman" w:eastAsia="方正仿宋_GBK" w:cs="Times New Roman"/>
          <w:sz w:val="32"/>
          <w:szCs w:val="32"/>
        </w:rPr>
      </w:pPr>
      <w:r>
        <w:rPr>
          <w:rFonts w:hint="eastAsia" w:ascii="方正仿宋_GBK" w:hAnsi="Times New Roman" w:eastAsia="方正仿宋_GBK" w:cs="Times New Roman"/>
          <w:sz w:val="32"/>
          <w:szCs w:val="32"/>
        </w:rPr>
        <w:t>发展改革部门应当对项目建议书提出的项目建设的必要性进行审查，作出是否批准的决定。项目建议书中资金筹措来源为财政资金的，资金来源需经财政部门审核同意。</w:t>
      </w:r>
    </w:p>
    <w:p>
      <w:pPr>
        <w:pStyle w:val="3"/>
        <w:keepNext w:val="0"/>
        <w:keepLines w:val="0"/>
        <w:numPr>
          <w:ilvl w:val="0"/>
          <w:numId w:val="1"/>
        </w:numPr>
        <w:spacing w:before="156" w:beforeLines="50" w:after="0" w:line="360" w:lineRule="auto"/>
        <w:ind w:left="0" w:firstLine="566" w:firstLineChars="177"/>
        <w:rPr>
          <w:rFonts w:ascii="方正仿宋_GBK" w:hAnsi="Times New Roman" w:eastAsia="方正仿宋_GBK" w:cs="Times New Roman"/>
          <w:b w:val="0"/>
          <w:bCs w:val="0"/>
        </w:rPr>
      </w:pPr>
      <w:r>
        <w:rPr>
          <w:rFonts w:hint="eastAsia" w:ascii="方正仿宋_GBK" w:hAnsi="Times New Roman" w:eastAsia="方正仿宋_GBK" w:cs="Times New Roman"/>
          <w:b w:val="0"/>
          <w:bCs w:val="0"/>
        </w:rPr>
        <w:t>可行性研究报告应当全面分析论证项目的技术经济可行性、社会效益、节能、资源综合利用、生态环境影响、社会稳定风险等，达到国家规定的深度，提出投资估算并对项目资金等主要建设条件落实情况做出说明。</w:t>
      </w:r>
    </w:p>
    <w:p>
      <w:pPr>
        <w:spacing w:line="360" w:lineRule="auto"/>
        <w:ind w:firstLine="640" w:firstLineChars="200"/>
        <w:rPr>
          <w:rFonts w:ascii="方正仿宋_GBK" w:hAnsi="Times New Roman" w:eastAsia="方正仿宋_GBK" w:cs="Times New Roman"/>
          <w:sz w:val="32"/>
          <w:szCs w:val="32"/>
        </w:rPr>
      </w:pPr>
      <w:r>
        <w:rPr>
          <w:rFonts w:hint="eastAsia" w:ascii="方正仿宋_GBK" w:hAnsi="Times New Roman" w:eastAsia="方正仿宋_GBK" w:cs="Times New Roman"/>
          <w:sz w:val="32"/>
          <w:szCs w:val="32"/>
        </w:rPr>
        <w:t>项目单位应当加强对可研报告所涵盖方案设计的合规性和科学性论证。项目方案设计按照规定需审核的，应报相关行业部门（主管单位）进行审核。发展改革部门应当对可行性研究报告分析的主要建设条件的落实情况进行审查，作出是否批准的决定。</w:t>
      </w:r>
    </w:p>
    <w:p>
      <w:pPr>
        <w:spacing w:line="360" w:lineRule="auto"/>
        <w:ind w:firstLine="640" w:firstLineChars="200"/>
        <w:rPr>
          <w:rFonts w:ascii="方正仿宋_GBK" w:hAnsi="Times New Roman" w:eastAsia="方正仿宋_GBK" w:cs="Times New Roman"/>
          <w:sz w:val="32"/>
          <w:szCs w:val="32"/>
        </w:rPr>
      </w:pPr>
      <w:r>
        <w:rPr>
          <w:rFonts w:hint="eastAsia" w:ascii="方正仿宋_GBK" w:hAnsi="Times New Roman" w:eastAsia="方正仿宋_GBK" w:cs="Times New Roman"/>
          <w:sz w:val="32"/>
          <w:szCs w:val="32"/>
        </w:rPr>
        <w:t>对于投资规模较大、技术方案复杂，确有必要进行会议集中评审的项目，由发展改革部门牵头组织财政、建设、规划自然资源、生态环境等行业部门以及相关专业专家进行会议评审。</w:t>
      </w:r>
    </w:p>
    <w:p>
      <w:pPr>
        <w:pStyle w:val="3"/>
        <w:keepNext w:val="0"/>
        <w:keepLines w:val="0"/>
        <w:numPr>
          <w:ilvl w:val="0"/>
          <w:numId w:val="1"/>
        </w:numPr>
        <w:spacing w:before="156" w:beforeLines="50" w:after="0" w:line="360" w:lineRule="auto"/>
        <w:ind w:left="0" w:firstLine="566" w:firstLineChars="177"/>
        <w:rPr>
          <w:rFonts w:ascii="方正仿宋_GBK" w:hAnsi="Times New Roman" w:eastAsia="方正仿宋_GBK" w:cs="Times New Roman"/>
          <w:b w:val="0"/>
          <w:bCs w:val="0"/>
        </w:rPr>
      </w:pPr>
      <w:r>
        <w:rPr>
          <w:rFonts w:hint="eastAsia" w:ascii="方正仿宋_GBK" w:hAnsi="Times New Roman" w:eastAsia="方正仿宋_GBK" w:cs="Times New Roman"/>
          <w:b w:val="0"/>
          <w:bCs w:val="0"/>
        </w:rPr>
        <w:t>初步设计应当明确项目的主要材料、设备规格、技术参数和投资概算等，达到国家规定的深度，且符合可行性研究报告批复内容。初步设计提出的投资概算应当包括工程费用、工程建设其他费用、预备费等项目建设所需的全部费用。</w:t>
      </w:r>
    </w:p>
    <w:p>
      <w:pPr>
        <w:spacing w:line="360" w:lineRule="auto"/>
        <w:ind w:firstLine="640" w:firstLineChars="200"/>
        <w:rPr>
          <w:rFonts w:ascii="方正仿宋_GBK" w:hAnsi="Times New Roman" w:eastAsia="方正仿宋_GBK" w:cs="Times New Roman"/>
          <w:sz w:val="32"/>
          <w:szCs w:val="32"/>
        </w:rPr>
      </w:pPr>
      <w:r>
        <w:rPr>
          <w:rFonts w:hint="eastAsia" w:ascii="方正仿宋_GBK" w:hAnsi="Times New Roman" w:eastAsia="方正仿宋_GBK" w:cs="Times New Roman"/>
          <w:sz w:val="32"/>
          <w:szCs w:val="32"/>
        </w:rPr>
        <w:t>行业部门按照职责分工对初步设计是否符合可行性研究报告批复以及国家有关标准和规范的要求进行审查，作出是否批准的决定。</w:t>
      </w:r>
      <w:r>
        <w:rPr>
          <w:rFonts w:ascii="方正仿宋_GBK" w:hAnsi="Times New Roman" w:eastAsia="方正仿宋_GBK" w:cs="Times New Roman"/>
          <w:sz w:val="32"/>
          <w:szCs w:val="32"/>
        </w:rPr>
        <w:t>发展改革部门对初步设计提出的投资概算进行核定，作出投资概算批复。初步设计和投资概算应当同步办理、并联审核</w:t>
      </w:r>
      <w:r>
        <w:rPr>
          <w:rFonts w:hint="eastAsia" w:ascii="方正仿宋_GBK" w:hAnsi="Times New Roman" w:eastAsia="方正仿宋_GBK" w:cs="Times New Roman"/>
          <w:sz w:val="32"/>
          <w:szCs w:val="32"/>
        </w:rPr>
        <w:t>。</w:t>
      </w:r>
    </w:p>
    <w:p>
      <w:pPr>
        <w:spacing w:line="360" w:lineRule="auto"/>
        <w:ind w:firstLine="640" w:firstLineChars="200"/>
        <w:rPr>
          <w:rFonts w:ascii="方正仿宋_GBK" w:hAnsi="Times New Roman" w:eastAsia="方正仿宋_GBK" w:cs="Times New Roman"/>
          <w:sz w:val="32"/>
          <w:szCs w:val="32"/>
        </w:rPr>
      </w:pPr>
      <w:r>
        <w:rPr>
          <w:rFonts w:hint="eastAsia" w:ascii="方正仿宋_GBK" w:hAnsi="Times New Roman" w:eastAsia="方正仿宋_GBK" w:cs="Times New Roman"/>
          <w:sz w:val="32"/>
          <w:szCs w:val="32"/>
        </w:rPr>
        <w:t>投资概算核定后，项目施工图实行限额设计，不再进行项目预算评审。</w:t>
      </w:r>
    </w:p>
    <w:p>
      <w:pPr>
        <w:pStyle w:val="3"/>
        <w:keepNext w:val="0"/>
        <w:keepLines w:val="0"/>
        <w:numPr>
          <w:ilvl w:val="0"/>
          <w:numId w:val="1"/>
        </w:numPr>
        <w:spacing w:before="156" w:beforeLines="50" w:after="0" w:line="360" w:lineRule="auto"/>
        <w:ind w:left="0" w:firstLine="707" w:firstLineChars="221"/>
        <w:rPr>
          <w:rFonts w:ascii="方正仿宋_GBK" w:hAnsi="Times New Roman" w:eastAsia="方正仿宋_GBK" w:cs="Times New Roman"/>
          <w:b w:val="0"/>
          <w:bCs w:val="0"/>
        </w:rPr>
      </w:pPr>
      <w:r>
        <w:rPr>
          <w:rFonts w:hint="eastAsia" w:ascii="方正仿宋_GBK" w:hAnsi="Times New Roman" w:eastAsia="方正仿宋_GBK" w:cs="Times New Roman"/>
          <w:b w:val="0"/>
          <w:bCs w:val="0"/>
        </w:rPr>
        <w:t>对政府投资项目</w:t>
      </w:r>
      <w:bookmarkStart w:id="9" w:name="_Hlk63085241"/>
      <w:r>
        <w:rPr>
          <w:rFonts w:hint="eastAsia" w:ascii="方正仿宋_GBK" w:hAnsi="Times New Roman" w:eastAsia="方正仿宋_GBK" w:cs="Times New Roman"/>
          <w:b w:val="0"/>
          <w:bCs w:val="0"/>
        </w:rPr>
        <w:t>不予批准</w:t>
      </w:r>
      <w:bookmarkEnd w:id="9"/>
      <w:r>
        <w:rPr>
          <w:rFonts w:hint="eastAsia" w:ascii="方正仿宋_GBK" w:hAnsi="Times New Roman" w:eastAsia="方正仿宋_GBK" w:cs="Times New Roman"/>
          <w:b w:val="0"/>
          <w:bCs w:val="0"/>
        </w:rPr>
        <w:t>的，应当书面通知项目单位并说明理由。</w:t>
      </w:r>
    </w:p>
    <w:p>
      <w:pPr>
        <w:spacing w:line="360" w:lineRule="auto"/>
        <w:ind w:firstLine="640" w:firstLineChars="200"/>
        <w:rPr>
          <w:rFonts w:ascii="方正仿宋_GBK" w:hAnsi="Times New Roman" w:eastAsia="方正仿宋_GBK" w:cs="Times New Roman"/>
          <w:sz w:val="32"/>
          <w:szCs w:val="32"/>
        </w:rPr>
      </w:pPr>
      <w:r>
        <w:rPr>
          <w:rFonts w:hint="eastAsia" w:ascii="方正仿宋_GBK" w:hAnsi="Times New Roman" w:eastAsia="方正仿宋_GBK" w:cs="Times New Roman"/>
          <w:sz w:val="32"/>
          <w:szCs w:val="32"/>
        </w:rPr>
        <w:t>审查项目建议书、可行性研究报告、初步设计和核定投资概算可以委托专业机构开展评估。</w:t>
      </w:r>
    </w:p>
    <w:p>
      <w:pPr>
        <w:spacing w:line="360" w:lineRule="auto"/>
        <w:ind w:firstLine="640" w:firstLineChars="200"/>
        <w:rPr>
          <w:rFonts w:ascii="方正仿宋_GBK" w:hAnsi="Times New Roman" w:eastAsia="方正仿宋_GBK" w:cs="Times New Roman"/>
          <w:sz w:val="32"/>
          <w:szCs w:val="32"/>
        </w:rPr>
      </w:pPr>
      <w:r>
        <w:rPr>
          <w:rFonts w:hint="eastAsia" w:ascii="方正仿宋_GBK" w:hAnsi="Times New Roman" w:eastAsia="方正仿宋_GBK" w:cs="Times New Roman"/>
          <w:sz w:val="32"/>
          <w:szCs w:val="32"/>
        </w:rPr>
        <w:t>对经济社会发展、社会公众利益有重大影响或者投资规模较大的政府投资项目，发展改革部门和住房城乡建设、交通、水利、能源等部门应当在中介服务机构评估、公众参与、专家评议、风险评估的基础上作出是否批准的决定。</w:t>
      </w:r>
    </w:p>
    <w:p>
      <w:pPr>
        <w:pStyle w:val="3"/>
        <w:keepNext w:val="0"/>
        <w:keepLines w:val="0"/>
        <w:numPr>
          <w:ilvl w:val="0"/>
          <w:numId w:val="1"/>
        </w:numPr>
        <w:spacing w:before="156" w:beforeLines="50" w:after="0" w:line="360" w:lineRule="auto"/>
        <w:ind w:left="0" w:firstLine="707" w:firstLineChars="221"/>
        <w:rPr>
          <w:rFonts w:ascii="方正仿宋_GBK" w:hAnsi="Times New Roman" w:eastAsia="方正仿宋_GBK" w:cs="Times New Roman"/>
          <w:b w:val="0"/>
          <w:bCs w:val="0"/>
        </w:rPr>
      </w:pPr>
      <w:r>
        <w:rPr>
          <w:rFonts w:hint="eastAsia" w:ascii="方正仿宋_GBK" w:hAnsi="Times New Roman" w:eastAsia="方正仿宋_GBK" w:cs="Times New Roman"/>
          <w:b w:val="0"/>
          <w:bCs w:val="0"/>
        </w:rPr>
        <w:t>经发展改革部门核定的投资概算是控制政府投资项目总投资的依据。</w:t>
      </w:r>
    </w:p>
    <w:p>
      <w:pPr>
        <w:spacing w:line="360" w:lineRule="auto"/>
        <w:ind w:firstLine="640" w:firstLineChars="200"/>
        <w:rPr>
          <w:rFonts w:ascii="方正仿宋_GBK" w:hAnsi="Times New Roman" w:eastAsia="方正仿宋_GBK" w:cs="Times New Roman"/>
          <w:sz w:val="32"/>
          <w:szCs w:val="32"/>
        </w:rPr>
      </w:pPr>
      <w:r>
        <w:rPr>
          <w:rFonts w:hint="eastAsia" w:ascii="方正仿宋_GBK" w:hAnsi="Times New Roman" w:eastAsia="方正仿宋_GBK" w:cs="Times New Roman"/>
          <w:sz w:val="32"/>
          <w:szCs w:val="32"/>
        </w:rPr>
        <w:t>项目投资概算超过可行性研究报告批复投资估算10%，或绝对金额超出可行性研究报告批复总投资1000万元的，项目单位应当就相关变动调整情况上报管委会同意后，重新编制报送项目可行性研究报告。</w:t>
      </w:r>
    </w:p>
    <w:p>
      <w:pPr>
        <w:pStyle w:val="3"/>
        <w:keepNext w:val="0"/>
        <w:keepLines w:val="0"/>
        <w:numPr>
          <w:ilvl w:val="0"/>
          <w:numId w:val="1"/>
        </w:numPr>
        <w:spacing w:before="156" w:beforeLines="50" w:after="0" w:line="360" w:lineRule="auto"/>
        <w:ind w:left="0" w:firstLine="707" w:firstLineChars="221"/>
        <w:rPr>
          <w:rFonts w:ascii="方正仿宋_GBK" w:hAnsi="Times New Roman" w:eastAsia="方正仿宋_GBK" w:cs="Times New Roman"/>
          <w:b w:val="0"/>
          <w:bCs w:val="0"/>
        </w:rPr>
      </w:pPr>
      <w:r>
        <w:rPr>
          <w:rFonts w:hint="eastAsia" w:ascii="方正仿宋_GBK" w:hAnsi="Times New Roman" w:eastAsia="方正仿宋_GBK" w:cs="Times New Roman"/>
          <w:b w:val="0"/>
          <w:bCs w:val="0"/>
        </w:rPr>
        <w:t>符合下列要求的各政府投资项目，可以</w:t>
      </w:r>
      <w:bookmarkStart w:id="10" w:name="_Hlk63082435"/>
      <w:r>
        <w:rPr>
          <w:rFonts w:hint="eastAsia" w:ascii="方正仿宋_GBK" w:hAnsi="Times New Roman" w:eastAsia="方正仿宋_GBK" w:cs="Times New Roman"/>
          <w:b w:val="0"/>
          <w:bCs w:val="0"/>
        </w:rPr>
        <w:t>按照本办法简化需要报批的文件和审批程序</w:t>
      </w:r>
      <w:bookmarkEnd w:id="10"/>
      <w:r>
        <w:rPr>
          <w:rFonts w:hint="eastAsia" w:ascii="方正仿宋_GBK" w:hAnsi="Times New Roman" w:eastAsia="方正仿宋_GBK" w:cs="Times New Roman"/>
          <w:b w:val="0"/>
          <w:bCs w:val="0"/>
        </w:rPr>
        <w:t>：</w:t>
      </w:r>
    </w:p>
    <w:p>
      <w:pPr>
        <w:spacing w:line="360" w:lineRule="auto"/>
        <w:ind w:firstLine="640" w:firstLineChars="200"/>
        <w:rPr>
          <w:rFonts w:ascii="方正仿宋_GBK" w:hAnsi="Times New Roman" w:eastAsia="方正仿宋_GBK" w:cs="Times New Roman"/>
          <w:sz w:val="32"/>
          <w:szCs w:val="32"/>
        </w:rPr>
      </w:pPr>
      <w:bookmarkStart w:id="11" w:name="_Hlk66439490"/>
      <w:r>
        <w:rPr>
          <w:rFonts w:hint="eastAsia" w:ascii="方正仿宋_GBK" w:hAnsi="Times New Roman" w:eastAsia="方正仿宋_GBK" w:cs="Times New Roman"/>
          <w:sz w:val="32"/>
          <w:szCs w:val="32"/>
        </w:rPr>
        <w:t>（一）总投资2</w:t>
      </w:r>
      <w:r>
        <w:rPr>
          <w:rFonts w:ascii="方正仿宋_GBK" w:hAnsi="Times New Roman" w:eastAsia="方正仿宋_GBK" w:cs="Times New Roman"/>
          <w:sz w:val="32"/>
          <w:szCs w:val="32"/>
        </w:rPr>
        <w:t>00</w:t>
      </w:r>
      <w:r>
        <w:rPr>
          <w:rFonts w:hint="eastAsia" w:ascii="方正仿宋_GBK" w:hAnsi="Times New Roman" w:eastAsia="方正仿宋_GBK" w:cs="Times New Roman"/>
          <w:sz w:val="32"/>
          <w:szCs w:val="32"/>
        </w:rPr>
        <w:t>万元以下的政府投资项目，</w:t>
      </w:r>
      <w:bookmarkStart w:id="12" w:name="_Hlk65485181"/>
      <w:r>
        <w:rPr>
          <w:rFonts w:hint="eastAsia" w:ascii="方正仿宋_GBK" w:hAnsi="Times New Roman" w:eastAsia="方正仿宋_GBK" w:cs="Times New Roman"/>
          <w:sz w:val="32"/>
          <w:szCs w:val="32"/>
        </w:rPr>
        <w:t>由项目单位</w:t>
      </w:r>
      <w:bookmarkEnd w:id="12"/>
      <w:r>
        <w:rPr>
          <w:rFonts w:hint="eastAsia" w:ascii="方正仿宋_GBK" w:hAnsi="Times New Roman" w:eastAsia="方正仿宋_GBK" w:cs="Times New Roman"/>
          <w:sz w:val="32"/>
          <w:szCs w:val="32"/>
        </w:rPr>
        <w:t>根据本行业部门（主管单位）的项目实施计划，直接编制报批初步设计及概算，按程序组织实施。</w:t>
      </w:r>
    </w:p>
    <w:p>
      <w:pPr>
        <w:spacing w:line="360" w:lineRule="auto"/>
        <w:ind w:firstLine="640" w:firstLineChars="200"/>
        <w:rPr>
          <w:rFonts w:ascii="方正仿宋_GBK" w:hAnsi="Times New Roman" w:eastAsia="方正仿宋_GBK" w:cs="Times New Roman"/>
          <w:sz w:val="32"/>
          <w:szCs w:val="32"/>
        </w:rPr>
      </w:pPr>
      <w:r>
        <w:rPr>
          <w:rFonts w:hint="eastAsia" w:ascii="方正仿宋_GBK" w:hAnsi="Times New Roman" w:eastAsia="方正仿宋_GBK" w:cs="Times New Roman"/>
          <w:sz w:val="32"/>
          <w:szCs w:val="32"/>
        </w:rPr>
        <w:t>（二）已纳入政府投资三年滚动规划的项目，可以不再编制项目建议书，由项目单位直接编制报批项目可行性研究报告。</w:t>
      </w:r>
    </w:p>
    <w:p>
      <w:pPr>
        <w:spacing w:line="360" w:lineRule="auto"/>
        <w:ind w:firstLine="640" w:firstLineChars="200"/>
        <w:rPr>
          <w:rFonts w:ascii="方正仿宋_GBK" w:hAnsi="Times New Roman" w:eastAsia="方正仿宋_GBK" w:cs="Times New Roman"/>
          <w:sz w:val="32"/>
          <w:szCs w:val="32"/>
        </w:rPr>
      </w:pPr>
      <w:r>
        <w:rPr>
          <w:rFonts w:hint="eastAsia" w:ascii="方正仿宋_GBK" w:hAnsi="Times New Roman" w:eastAsia="方正仿宋_GBK" w:cs="Times New Roman"/>
          <w:sz w:val="32"/>
          <w:szCs w:val="32"/>
        </w:rPr>
        <w:t>（三）总投资</w:t>
      </w:r>
      <w:r>
        <w:rPr>
          <w:rFonts w:ascii="方正仿宋_GBK" w:hAnsi="Times New Roman" w:eastAsia="方正仿宋_GBK" w:cs="Times New Roman"/>
          <w:sz w:val="32"/>
          <w:szCs w:val="32"/>
        </w:rPr>
        <w:t>500</w:t>
      </w:r>
      <w:r>
        <w:rPr>
          <w:rFonts w:hint="eastAsia" w:ascii="方正仿宋_GBK" w:hAnsi="Times New Roman" w:eastAsia="方正仿宋_GBK" w:cs="Times New Roman"/>
          <w:sz w:val="32"/>
          <w:szCs w:val="32"/>
        </w:rPr>
        <w:t>万元以下的市政维护、修缮工程等项目，建筑面积</w:t>
      </w:r>
      <w:r>
        <w:rPr>
          <w:rFonts w:ascii="方正仿宋_GBK" w:hAnsi="Times New Roman" w:eastAsia="方正仿宋_GBK" w:cs="Times New Roman"/>
          <w:sz w:val="32"/>
          <w:szCs w:val="32"/>
        </w:rPr>
        <w:t>1000</w:t>
      </w:r>
      <w:r>
        <w:rPr>
          <w:rFonts w:hint="eastAsia" w:ascii="方正仿宋_GBK" w:hAnsi="Times New Roman" w:eastAsia="方正仿宋_GBK" w:cs="Times New Roman"/>
          <w:sz w:val="32"/>
          <w:szCs w:val="32"/>
        </w:rPr>
        <w:t>平方米以下的房屋建筑工程的项目，可不再审批初步设计和概算，以项目可行性研究报告及批复作为投资控制依据。</w:t>
      </w:r>
    </w:p>
    <w:bookmarkEnd w:id="11"/>
    <w:p>
      <w:pPr>
        <w:spacing w:line="360" w:lineRule="auto"/>
        <w:ind w:firstLine="640" w:firstLineChars="200"/>
        <w:rPr>
          <w:rFonts w:ascii="方正仿宋_GBK" w:hAnsi="Times New Roman" w:eastAsia="方正仿宋_GBK" w:cs="Times New Roman"/>
          <w:sz w:val="32"/>
          <w:szCs w:val="32"/>
        </w:rPr>
      </w:pPr>
      <w:bookmarkStart w:id="13" w:name="_Hlk66438886"/>
      <w:r>
        <w:rPr>
          <w:rFonts w:hint="eastAsia" w:ascii="方正仿宋_GBK" w:hAnsi="Times New Roman" w:eastAsia="方正仿宋_GBK" w:cs="Times New Roman"/>
          <w:sz w:val="32"/>
          <w:szCs w:val="32"/>
        </w:rPr>
        <w:t>国家及重庆市对简化需要报批的文件和审批程序另有规定的，从其规定</w:t>
      </w:r>
      <w:bookmarkEnd w:id="13"/>
      <w:r>
        <w:rPr>
          <w:rFonts w:hint="eastAsia" w:ascii="方正仿宋_GBK" w:hAnsi="Times New Roman" w:eastAsia="方正仿宋_GBK" w:cs="Times New Roman"/>
          <w:sz w:val="32"/>
          <w:szCs w:val="32"/>
        </w:rPr>
        <w:t>。</w:t>
      </w:r>
    </w:p>
    <w:p>
      <w:pPr>
        <w:pStyle w:val="3"/>
        <w:keepNext w:val="0"/>
        <w:keepLines w:val="0"/>
        <w:numPr>
          <w:ilvl w:val="0"/>
          <w:numId w:val="1"/>
        </w:numPr>
        <w:spacing w:before="156" w:beforeLines="50" w:after="0" w:line="360" w:lineRule="auto"/>
        <w:ind w:left="0" w:firstLine="707" w:firstLineChars="221"/>
        <w:rPr>
          <w:rFonts w:ascii="方正仿宋_GBK" w:hAnsi="Times New Roman" w:eastAsia="方正仿宋_GBK" w:cs="Times New Roman"/>
          <w:b w:val="0"/>
          <w:bCs w:val="0"/>
        </w:rPr>
      </w:pPr>
      <w:r>
        <w:rPr>
          <w:rFonts w:ascii="方正仿宋_GBK" w:hAnsi="Times New Roman" w:eastAsia="方正仿宋_GBK" w:cs="Times New Roman"/>
          <w:b w:val="0"/>
          <w:bCs w:val="0"/>
        </w:rPr>
        <w:t>除涉及国家秘密的项目外，</w:t>
      </w:r>
      <w:r>
        <w:rPr>
          <w:rFonts w:hint="eastAsia" w:ascii="方正仿宋_GBK" w:hAnsi="Times New Roman" w:eastAsia="方正仿宋_GBK" w:cs="Times New Roman"/>
          <w:b w:val="0"/>
          <w:bCs w:val="0"/>
        </w:rPr>
        <w:t>发展改革部门、行业部门（主管单位）应当通过</w:t>
      </w:r>
      <w:bookmarkStart w:id="14" w:name="_Hlk65485343"/>
      <w:r>
        <w:rPr>
          <w:rFonts w:hint="eastAsia" w:ascii="方正仿宋_GBK" w:hAnsi="Times New Roman" w:eastAsia="方正仿宋_GBK" w:cs="Times New Roman"/>
          <w:b w:val="0"/>
          <w:bCs w:val="0"/>
        </w:rPr>
        <w:t>两江新区投资项目管理系统</w:t>
      </w:r>
      <w:bookmarkEnd w:id="14"/>
      <w:r>
        <w:rPr>
          <w:rFonts w:hint="eastAsia" w:ascii="方正仿宋_GBK" w:hAnsi="Times New Roman" w:eastAsia="方正仿宋_GBK" w:cs="Times New Roman"/>
          <w:b w:val="0"/>
          <w:bCs w:val="0"/>
        </w:rPr>
        <w:t>，使用在线平台生成的项目代码办理政府投资项目审批手续，开展政府投资项目规划、政府投资年度计划编制和政府投资项目调度监管等。</w:t>
      </w:r>
    </w:p>
    <w:p>
      <w:pPr>
        <w:spacing w:line="360" w:lineRule="auto"/>
        <w:ind w:firstLine="640" w:firstLineChars="200"/>
        <w:rPr>
          <w:rFonts w:ascii="方正仿宋_GBK" w:hAnsi="Times New Roman" w:eastAsia="方正仿宋_GBK" w:cs="Times New Roman"/>
          <w:sz w:val="32"/>
          <w:szCs w:val="32"/>
        </w:rPr>
      </w:pPr>
      <w:bookmarkStart w:id="15" w:name="_Hlk65485550"/>
      <w:r>
        <w:rPr>
          <w:rFonts w:hint="eastAsia" w:ascii="方正仿宋_GBK" w:hAnsi="Times New Roman" w:eastAsia="方正仿宋_GBK" w:cs="Times New Roman"/>
          <w:sz w:val="32"/>
          <w:szCs w:val="32"/>
        </w:rPr>
        <w:t>发展改革部门、行业部门（主管单位）</w:t>
      </w:r>
      <w:bookmarkEnd w:id="15"/>
      <w:r>
        <w:rPr>
          <w:rFonts w:hint="eastAsia" w:ascii="方正仿宋_GBK" w:hAnsi="Times New Roman" w:eastAsia="方正仿宋_GBK" w:cs="Times New Roman"/>
          <w:sz w:val="32"/>
          <w:szCs w:val="32"/>
        </w:rPr>
        <w:t>应当通过在线平台列明与政府投资有关的规划、产业政策等，公开政府投资项目审批的办理流程、办理时限等，并为项目单位提供相关咨询服务。</w:t>
      </w:r>
    </w:p>
    <w:p>
      <w:pPr>
        <w:pStyle w:val="3"/>
        <w:keepNext w:val="0"/>
        <w:keepLines w:val="0"/>
        <w:numPr>
          <w:ilvl w:val="0"/>
          <w:numId w:val="1"/>
        </w:numPr>
        <w:spacing w:before="156" w:beforeLines="50" w:after="0" w:line="360" w:lineRule="auto"/>
        <w:ind w:left="0" w:firstLine="707" w:firstLineChars="221"/>
        <w:rPr>
          <w:rFonts w:ascii="方正仿宋_GBK" w:hAnsi="Times New Roman" w:eastAsia="方正仿宋_GBK" w:cs="Times New Roman"/>
          <w:b w:val="0"/>
          <w:bCs w:val="0"/>
        </w:rPr>
      </w:pPr>
      <w:r>
        <w:rPr>
          <w:rFonts w:hint="eastAsia" w:ascii="方正仿宋_GBK" w:hAnsi="Times New Roman" w:eastAsia="方正仿宋_GBK" w:cs="Times New Roman"/>
          <w:b w:val="0"/>
          <w:bCs w:val="0"/>
        </w:rPr>
        <w:t>为应对自然灾害、事故灾难、公共卫生事件、社会安全事件等突发应急事件，需要紧急建设的政府投资项目，按照国家、重庆市及两江新区有关规定和要求执行。</w:t>
      </w:r>
    </w:p>
    <w:p>
      <w:pPr>
        <w:pStyle w:val="2"/>
        <w:keepNext w:val="0"/>
        <w:keepLines w:val="0"/>
        <w:spacing w:before="312" w:beforeLines="100" w:after="156" w:afterLines="50" w:line="360" w:lineRule="auto"/>
        <w:jc w:val="center"/>
        <w:rPr>
          <w:rFonts w:ascii="方正小标宋_GBK" w:hAnsi="Times New Roman" w:eastAsia="方正小标宋_GBK" w:cs="Times New Roman"/>
          <w:b w:val="0"/>
          <w:bCs w:val="0"/>
          <w:sz w:val="32"/>
          <w:szCs w:val="32"/>
        </w:rPr>
      </w:pPr>
      <w:r>
        <w:rPr>
          <w:rFonts w:hint="eastAsia" w:ascii="方正小标宋_GBK" w:hAnsi="Times New Roman" w:eastAsia="方正小标宋_GBK" w:cs="Times New Roman"/>
          <w:b w:val="0"/>
          <w:bCs w:val="0"/>
          <w:sz w:val="32"/>
          <w:szCs w:val="32"/>
        </w:rPr>
        <w:t>第三章 政府投资年度计划</w:t>
      </w:r>
    </w:p>
    <w:p>
      <w:pPr>
        <w:pStyle w:val="3"/>
        <w:keepNext w:val="0"/>
        <w:keepLines w:val="0"/>
        <w:numPr>
          <w:ilvl w:val="0"/>
          <w:numId w:val="1"/>
        </w:numPr>
        <w:spacing w:before="156" w:beforeLines="50" w:after="0" w:line="360" w:lineRule="auto"/>
        <w:ind w:left="0" w:firstLine="707" w:firstLineChars="221"/>
        <w:rPr>
          <w:rFonts w:ascii="方正仿宋_GBK" w:hAnsi="Times New Roman" w:eastAsia="方正仿宋_GBK" w:cs="Times New Roman"/>
          <w:b w:val="0"/>
          <w:bCs w:val="0"/>
        </w:rPr>
      </w:pPr>
      <w:r>
        <w:rPr>
          <w:rFonts w:hint="eastAsia" w:ascii="方正仿宋_GBK" w:hAnsi="Times New Roman" w:eastAsia="方正仿宋_GBK" w:cs="Times New Roman"/>
          <w:b w:val="0"/>
          <w:bCs w:val="0"/>
        </w:rPr>
        <w:t>政府投资项目和资金实行计划管理。发展改革部门会同财政部门根据政府投资项目规划、年度工作任务，结合财政收支状况编制政府投资年度计划。</w:t>
      </w:r>
    </w:p>
    <w:p>
      <w:pPr>
        <w:spacing w:line="360" w:lineRule="auto"/>
        <w:ind w:firstLine="640" w:firstLineChars="200"/>
        <w:rPr>
          <w:rFonts w:ascii="方正仿宋_GBK" w:hAnsi="Times New Roman" w:eastAsia="方正仿宋_GBK" w:cs="Times New Roman"/>
          <w:sz w:val="32"/>
          <w:szCs w:val="32"/>
        </w:rPr>
      </w:pPr>
      <w:r>
        <w:rPr>
          <w:rFonts w:hint="eastAsia" w:ascii="方正仿宋_GBK" w:hAnsi="Times New Roman" w:eastAsia="方正仿宋_GBK" w:cs="Times New Roman"/>
          <w:sz w:val="32"/>
          <w:szCs w:val="32"/>
        </w:rPr>
        <w:t>政府投资年度计划应当明确项目名称、建设内容及规模、建设工期、项目总投资、年度投资额及资金来源等事项。</w:t>
      </w:r>
    </w:p>
    <w:p>
      <w:pPr>
        <w:pStyle w:val="3"/>
        <w:keepNext w:val="0"/>
        <w:keepLines w:val="0"/>
        <w:numPr>
          <w:ilvl w:val="0"/>
          <w:numId w:val="1"/>
        </w:numPr>
        <w:spacing w:before="156" w:beforeLines="50" w:after="0" w:line="360" w:lineRule="auto"/>
        <w:ind w:left="0" w:firstLine="707" w:firstLineChars="221"/>
        <w:rPr>
          <w:rFonts w:ascii="方正仿宋_GBK" w:hAnsi="Times New Roman" w:eastAsia="方正仿宋_GBK" w:cs="Times New Roman"/>
          <w:b w:val="0"/>
          <w:bCs w:val="0"/>
        </w:rPr>
      </w:pPr>
      <w:r>
        <w:rPr>
          <w:rFonts w:hint="eastAsia" w:ascii="方正仿宋_GBK" w:hAnsi="Times New Roman" w:eastAsia="方正仿宋_GBK" w:cs="Times New Roman"/>
          <w:b w:val="0"/>
          <w:bCs w:val="0"/>
        </w:rPr>
        <w:t>申请列入政府投资年度计划的项目，应当已纳入政府投资三年滚动规划或是管委会要求新增，且符合下列条件：</w:t>
      </w:r>
    </w:p>
    <w:p>
      <w:pPr>
        <w:spacing w:line="360" w:lineRule="auto"/>
        <w:ind w:firstLine="640" w:firstLineChars="200"/>
        <w:rPr>
          <w:rFonts w:ascii="方正仿宋_GBK" w:hAnsi="Times New Roman" w:eastAsia="方正仿宋_GBK" w:cs="Times New Roman"/>
          <w:sz w:val="32"/>
          <w:szCs w:val="32"/>
        </w:rPr>
      </w:pPr>
      <w:r>
        <w:rPr>
          <w:rFonts w:hint="eastAsia" w:ascii="方正仿宋_GBK" w:hAnsi="Times New Roman" w:eastAsia="方正仿宋_GBK" w:cs="Times New Roman"/>
          <w:sz w:val="32"/>
          <w:szCs w:val="32"/>
        </w:rPr>
        <w:t>（一）采取直接投资方式、资本金注入方式的，包括在建项目、计划新开工项目和使用前期工作经费项目；</w:t>
      </w:r>
    </w:p>
    <w:p>
      <w:pPr>
        <w:spacing w:line="360" w:lineRule="auto"/>
        <w:ind w:firstLine="640" w:firstLineChars="200"/>
        <w:rPr>
          <w:rFonts w:ascii="方正仿宋_GBK" w:hAnsi="Times New Roman" w:eastAsia="方正仿宋_GBK" w:cs="Times New Roman"/>
          <w:sz w:val="32"/>
          <w:szCs w:val="32"/>
        </w:rPr>
      </w:pPr>
      <w:r>
        <w:rPr>
          <w:rFonts w:hint="eastAsia" w:ascii="方正仿宋_GBK" w:hAnsi="Times New Roman" w:eastAsia="方正仿宋_GBK" w:cs="Times New Roman"/>
          <w:sz w:val="32"/>
          <w:szCs w:val="32"/>
        </w:rPr>
        <w:t>（二）管委会</w:t>
      </w:r>
      <w:r>
        <w:rPr>
          <w:rFonts w:ascii="方正仿宋_GBK" w:hAnsi="Times New Roman" w:eastAsia="方正仿宋_GBK" w:cs="Times New Roman"/>
          <w:sz w:val="32"/>
          <w:szCs w:val="32"/>
        </w:rPr>
        <w:t>规定的其他条件。</w:t>
      </w:r>
    </w:p>
    <w:p>
      <w:pPr>
        <w:pStyle w:val="3"/>
        <w:keepNext w:val="0"/>
        <w:keepLines w:val="0"/>
        <w:numPr>
          <w:ilvl w:val="0"/>
          <w:numId w:val="1"/>
        </w:numPr>
        <w:spacing w:before="156" w:beforeLines="50" w:after="0" w:line="360" w:lineRule="auto"/>
        <w:ind w:left="0" w:firstLine="707" w:firstLineChars="221"/>
        <w:rPr>
          <w:rFonts w:ascii="方正仿宋_GBK" w:hAnsi="Times New Roman" w:eastAsia="方正仿宋_GBK" w:cs="Times New Roman"/>
          <w:b w:val="0"/>
          <w:bCs w:val="0"/>
        </w:rPr>
      </w:pPr>
      <w:r>
        <w:rPr>
          <w:rFonts w:hint="eastAsia" w:ascii="方正仿宋_GBK" w:hAnsi="Times New Roman" w:eastAsia="方正仿宋_GBK" w:cs="Times New Roman"/>
          <w:b w:val="0"/>
          <w:bCs w:val="0"/>
        </w:rPr>
        <w:t>政府投资年度计划按照下列规定编制</w:t>
      </w:r>
      <w:r>
        <w:rPr>
          <w:rFonts w:ascii="方正仿宋_GBK" w:hAnsi="Times New Roman" w:eastAsia="方正仿宋_GBK" w:cs="Times New Roman"/>
          <w:b w:val="0"/>
          <w:bCs w:val="0"/>
        </w:rPr>
        <w:t>:</w:t>
      </w:r>
    </w:p>
    <w:p>
      <w:pPr>
        <w:spacing w:line="360" w:lineRule="auto"/>
        <w:ind w:firstLine="640" w:firstLineChars="200"/>
        <w:rPr>
          <w:rFonts w:ascii="方正仿宋_GBK" w:hAnsi="Times New Roman" w:eastAsia="方正仿宋_GBK" w:cs="Times New Roman"/>
          <w:sz w:val="32"/>
          <w:szCs w:val="32"/>
        </w:rPr>
      </w:pPr>
      <w:r>
        <w:rPr>
          <w:rFonts w:hint="eastAsia" w:ascii="方正仿宋_GBK" w:hAnsi="Times New Roman" w:eastAsia="方正仿宋_GBK" w:cs="Times New Roman"/>
          <w:sz w:val="32"/>
          <w:szCs w:val="32"/>
        </w:rPr>
        <w:t>（一）行业部门（主管单位）</w:t>
      </w:r>
      <w:r>
        <w:rPr>
          <w:rFonts w:hint="eastAsia" w:ascii="方正仿宋_GBK" w:eastAsia="方正仿宋_GBK"/>
          <w:sz w:val="32"/>
          <w:szCs w:val="32"/>
        </w:rPr>
        <w:t>衔接年度财政预算编制，</w:t>
      </w:r>
      <w:r>
        <w:rPr>
          <w:rFonts w:hint="eastAsia" w:ascii="方正仿宋_GBK" w:hAnsi="Times New Roman" w:eastAsia="方正仿宋_GBK" w:cs="Times New Roman"/>
          <w:sz w:val="32"/>
          <w:szCs w:val="32"/>
        </w:rPr>
        <w:t>编制完成下一年度拟组织实施的政府投资年度建议计划，并报送发展改革部门汇总；</w:t>
      </w:r>
    </w:p>
    <w:p>
      <w:pPr>
        <w:spacing w:line="560" w:lineRule="exact"/>
        <w:ind w:firstLine="640" w:firstLineChars="200"/>
        <w:rPr>
          <w:rFonts w:ascii="方正仿宋_GBK" w:hAnsi="Times New Roman" w:eastAsia="方正仿宋_GBK" w:cs="Times New Roman"/>
          <w:sz w:val="32"/>
          <w:szCs w:val="32"/>
        </w:rPr>
      </w:pPr>
      <w:r>
        <w:rPr>
          <w:rFonts w:hint="eastAsia" w:ascii="方正仿宋_GBK" w:hAnsi="Times New Roman" w:eastAsia="方正仿宋_GBK" w:cs="Times New Roman"/>
          <w:sz w:val="32"/>
          <w:szCs w:val="32"/>
        </w:rPr>
        <w:t>（二）发展改革部门</w:t>
      </w:r>
      <w:r>
        <w:rPr>
          <w:rFonts w:hint="eastAsia" w:ascii="方正仿宋_GBK" w:eastAsia="方正仿宋_GBK"/>
          <w:sz w:val="32"/>
          <w:szCs w:val="32"/>
        </w:rPr>
        <w:t>根据项目进度，</w:t>
      </w:r>
      <w:r>
        <w:rPr>
          <w:rFonts w:hint="eastAsia" w:ascii="方正仿宋_GBK" w:hAnsi="Times New Roman" w:eastAsia="方正仿宋_GBK" w:cs="Times New Roman"/>
          <w:sz w:val="32"/>
          <w:szCs w:val="32"/>
        </w:rPr>
        <w:t>会同行业部门对接财政预算编制。财政部门统筹财政资金、资源，提出资金平衡意见；</w:t>
      </w:r>
    </w:p>
    <w:p>
      <w:pPr>
        <w:spacing w:line="560" w:lineRule="exact"/>
        <w:ind w:firstLine="640" w:firstLineChars="200"/>
        <w:rPr>
          <w:rFonts w:ascii="方正仿宋_GBK" w:hAnsi="Times New Roman" w:eastAsia="方正仿宋_GBK" w:cs="Times New Roman"/>
          <w:sz w:val="32"/>
          <w:szCs w:val="32"/>
        </w:rPr>
      </w:pPr>
      <w:r>
        <w:rPr>
          <w:rFonts w:hint="eastAsia" w:ascii="方正仿宋_GBK" w:hAnsi="Times New Roman" w:eastAsia="方正仿宋_GBK" w:cs="Times New Roman"/>
          <w:sz w:val="32"/>
          <w:szCs w:val="32"/>
        </w:rPr>
        <w:t>（三）发展改革部门再会同财政、规划自然资源及行业部门在汇总政府投资年度建议计划基础上，</w:t>
      </w:r>
      <w:r>
        <w:rPr>
          <w:rFonts w:hint="eastAsia" w:ascii="方正仿宋_GBK" w:eastAsia="方正仿宋_GBK"/>
          <w:sz w:val="32"/>
          <w:szCs w:val="32"/>
        </w:rPr>
        <w:t>共同</w:t>
      </w:r>
      <w:r>
        <w:rPr>
          <w:rFonts w:hint="eastAsia" w:ascii="方正仿宋_GBK" w:hAnsi="Times New Roman" w:eastAsia="方正仿宋_GBK" w:cs="Times New Roman"/>
          <w:sz w:val="32"/>
          <w:szCs w:val="32"/>
        </w:rPr>
        <w:t>编制下一年度政府投资年度计划草案，报管委会审定；</w:t>
      </w:r>
    </w:p>
    <w:p>
      <w:pPr>
        <w:spacing w:line="560" w:lineRule="exact"/>
        <w:ind w:firstLine="640" w:firstLineChars="200"/>
        <w:rPr>
          <w:rFonts w:ascii="方正仿宋_GBK" w:hAnsi="Times New Roman" w:eastAsia="方正仿宋_GBK" w:cs="Times New Roman"/>
          <w:sz w:val="32"/>
          <w:szCs w:val="32"/>
        </w:rPr>
      </w:pPr>
      <w:r>
        <w:rPr>
          <w:rFonts w:hint="eastAsia" w:ascii="方正仿宋_GBK" w:hAnsi="Times New Roman" w:eastAsia="方正仿宋_GBK" w:cs="Times New Roman"/>
          <w:sz w:val="32"/>
          <w:szCs w:val="32"/>
        </w:rPr>
        <w:t>（四）政府投资年度计划草案经管委会审定后，由发展改革部门会同财政部门联合下达。</w:t>
      </w:r>
    </w:p>
    <w:p>
      <w:pPr>
        <w:pStyle w:val="3"/>
        <w:keepNext w:val="0"/>
        <w:keepLines w:val="0"/>
        <w:numPr>
          <w:ilvl w:val="0"/>
          <w:numId w:val="1"/>
        </w:numPr>
        <w:spacing w:before="156" w:beforeLines="50" w:after="0" w:line="360" w:lineRule="auto"/>
        <w:ind w:left="0" w:firstLine="707" w:firstLineChars="221"/>
        <w:rPr>
          <w:rFonts w:ascii="方正仿宋_GBK" w:hAnsi="Times New Roman" w:eastAsia="方正仿宋_GBK" w:cs="Times New Roman"/>
          <w:b w:val="0"/>
          <w:bCs w:val="0"/>
        </w:rPr>
      </w:pPr>
      <w:r>
        <w:rPr>
          <w:rFonts w:hint="eastAsia" w:ascii="方正仿宋_GBK" w:hAnsi="Times New Roman" w:eastAsia="方正仿宋_GBK" w:cs="Times New Roman"/>
          <w:b w:val="0"/>
          <w:bCs w:val="0"/>
        </w:rPr>
        <w:t>政府投资年度计划下达后，发展改革部门负责计划执行的组织调度和评价，根据需要可以对重大政府投资项目实施组织协调、监督指导。</w:t>
      </w:r>
    </w:p>
    <w:p>
      <w:pPr>
        <w:spacing w:line="360" w:lineRule="auto"/>
        <w:ind w:firstLine="640" w:firstLineChars="200"/>
        <w:rPr>
          <w:rFonts w:ascii="方正仿宋_GBK" w:hAnsi="Times New Roman" w:eastAsia="方正仿宋_GBK" w:cs="Times New Roman"/>
          <w:sz w:val="32"/>
          <w:szCs w:val="32"/>
        </w:rPr>
      </w:pPr>
      <w:r>
        <w:rPr>
          <w:rFonts w:hint="eastAsia" w:ascii="方正仿宋_GBK" w:hAnsi="Times New Roman" w:eastAsia="方正仿宋_GBK" w:cs="Times New Roman"/>
          <w:sz w:val="32"/>
          <w:szCs w:val="32"/>
        </w:rPr>
        <w:t>行业部门（主管单位）可以根据政府投资年度计划对项目单位分解下达项目建设计划，并在事权范围内负责本行业或主管范围内项目的督导推进，指导项目单位做好设计、征地拆迁、施工招标等开工准备工作，督促项目单位按照规定时间开工建设。</w:t>
      </w:r>
    </w:p>
    <w:p>
      <w:pPr>
        <w:spacing w:line="360" w:lineRule="auto"/>
        <w:ind w:firstLine="640" w:firstLineChars="200"/>
        <w:rPr>
          <w:rFonts w:ascii="方正仿宋_GBK" w:hAnsi="Times New Roman" w:eastAsia="方正仿宋_GBK" w:cs="Times New Roman"/>
          <w:sz w:val="32"/>
          <w:szCs w:val="32"/>
        </w:rPr>
      </w:pPr>
      <w:r>
        <w:rPr>
          <w:rFonts w:hint="eastAsia" w:ascii="方正仿宋_GBK" w:hAnsi="Times New Roman" w:eastAsia="方正仿宋_GBK" w:cs="Times New Roman"/>
          <w:sz w:val="32"/>
          <w:szCs w:val="32"/>
        </w:rPr>
        <w:t>项目单位负责政府投资项目的实施，接受发展改革部门、行业部门（主管单位）的监督指导。</w:t>
      </w:r>
    </w:p>
    <w:p>
      <w:pPr>
        <w:pStyle w:val="3"/>
        <w:keepNext w:val="0"/>
        <w:keepLines w:val="0"/>
        <w:numPr>
          <w:ilvl w:val="0"/>
          <w:numId w:val="1"/>
        </w:numPr>
        <w:spacing w:before="156" w:beforeLines="50" w:after="0" w:line="360" w:lineRule="auto"/>
        <w:ind w:left="0" w:firstLine="707" w:firstLineChars="221"/>
        <w:rPr>
          <w:rFonts w:ascii="方正仿宋_GBK" w:hAnsi="Times New Roman" w:eastAsia="方正仿宋_GBK" w:cs="Times New Roman"/>
          <w:b w:val="0"/>
          <w:bCs w:val="0"/>
        </w:rPr>
      </w:pPr>
      <w:r>
        <w:rPr>
          <w:rFonts w:hint="eastAsia" w:ascii="方正仿宋_GBK" w:hAnsi="Times New Roman" w:eastAsia="方正仿宋_GBK" w:cs="Times New Roman"/>
          <w:b w:val="0"/>
          <w:bCs w:val="0"/>
        </w:rPr>
        <w:t>政府投资年度计划应当严格执行，未经法定程序不得变更。</w:t>
      </w:r>
    </w:p>
    <w:p>
      <w:pPr>
        <w:spacing w:line="360" w:lineRule="auto"/>
        <w:ind w:firstLine="640" w:firstLineChars="200"/>
        <w:rPr>
          <w:rFonts w:ascii="方正仿宋_GBK" w:hAnsi="Times New Roman" w:eastAsia="方正仿宋_GBK" w:cs="Times New Roman"/>
          <w:sz w:val="32"/>
          <w:szCs w:val="32"/>
        </w:rPr>
      </w:pPr>
      <w:r>
        <w:rPr>
          <w:rFonts w:hint="eastAsia" w:ascii="方正仿宋_GBK" w:hAnsi="Times New Roman" w:eastAsia="方正仿宋_GBK" w:cs="Times New Roman"/>
          <w:sz w:val="32"/>
          <w:szCs w:val="32"/>
        </w:rPr>
        <w:t>对于确有必要调整的政府投资项目，项目单位应按照以下情况执行报批程序，经审核同意后方可调整当年项目支出：</w:t>
      </w:r>
    </w:p>
    <w:p>
      <w:pPr>
        <w:spacing w:line="360" w:lineRule="auto"/>
        <w:ind w:firstLine="640" w:firstLineChars="200"/>
        <w:rPr>
          <w:rFonts w:ascii="方正仿宋_GBK" w:hAnsi="Times New Roman" w:eastAsia="方正仿宋_GBK" w:cs="Times New Roman"/>
          <w:sz w:val="32"/>
          <w:szCs w:val="32"/>
        </w:rPr>
      </w:pPr>
      <w:r>
        <w:rPr>
          <w:rFonts w:hint="eastAsia" w:ascii="方正仿宋_GBK" w:hAnsi="Times New Roman" w:eastAsia="方正仿宋_GBK" w:cs="Times New Roman"/>
          <w:sz w:val="32"/>
          <w:szCs w:val="32"/>
        </w:rPr>
        <w:t>（一）对于已列入当年政府投资计划，但因规划调整、土地房屋征收或其他特殊情况确需取消计划、暂缓实施、延长项目建设周期或调整当年投资进度的，项目单位应将项目调整情况报管委会审定；</w:t>
      </w:r>
    </w:p>
    <w:p>
      <w:pPr>
        <w:spacing w:line="360" w:lineRule="auto"/>
        <w:ind w:firstLine="640" w:firstLineChars="200"/>
        <w:rPr>
          <w:rFonts w:ascii="方正仿宋_GBK" w:hAnsi="Times New Roman" w:eastAsia="方正仿宋_GBK" w:cs="Times New Roman"/>
          <w:sz w:val="32"/>
          <w:szCs w:val="32"/>
        </w:rPr>
      </w:pPr>
      <w:r>
        <w:rPr>
          <w:rFonts w:hint="eastAsia" w:ascii="方正仿宋_GBK" w:hAnsi="Times New Roman" w:eastAsia="方正仿宋_GBK" w:cs="Times New Roman"/>
          <w:sz w:val="32"/>
          <w:szCs w:val="32"/>
        </w:rPr>
        <w:t>（二）对于确有必要新增的政府投资项目，总投资在1亿元及以上的，项目单位应报管委会办公会议审定；总投资在1亿元以下的，报管委会专题会议审定。</w:t>
      </w:r>
    </w:p>
    <w:p>
      <w:pPr>
        <w:pStyle w:val="3"/>
        <w:keepNext w:val="0"/>
        <w:keepLines w:val="0"/>
        <w:numPr>
          <w:ilvl w:val="0"/>
          <w:numId w:val="1"/>
        </w:numPr>
        <w:spacing w:before="156" w:beforeLines="50" w:after="0" w:line="360" w:lineRule="auto"/>
        <w:ind w:left="0" w:firstLine="707" w:firstLineChars="221"/>
        <w:rPr>
          <w:rFonts w:ascii="方正仿宋_GBK" w:hAnsi="Times New Roman" w:eastAsia="方正仿宋_GBK" w:cs="Times New Roman"/>
          <w:b w:val="0"/>
          <w:bCs w:val="0"/>
        </w:rPr>
      </w:pPr>
      <w:r>
        <w:rPr>
          <w:rFonts w:hint="eastAsia" w:ascii="方正仿宋_GBK" w:hAnsi="Times New Roman" w:eastAsia="方正仿宋_GBK" w:cs="Times New Roman"/>
          <w:b w:val="0"/>
          <w:bCs w:val="0"/>
        </w:rPr>
        <w:t>政府投资年度计划应当和本级预算相衔接。财政部门应当加强财政资金预算审核和执行管理，严格预算约束。</w:t>
      </w:r>
    </w:p>
    <w:p>
      <w:pPr>
        <w:spacing w:line="360" w:lineRule="auto"/>
        <w:ind w:firstLine="640" w:firstLineChars="200"/>
        <w:rPr>
          <w:rFonts w:ascii="方正仿宋_GBK" w:hAnsi="Times New Roman" w:eastAsia="方正仿宋_GBK" w:cs="Times New Roman"/>
          <w:sz w:val="32"/>
          <w:szCs w:val="32"/>
        </w:rPr>
      </w:pPr>
      <w:r>
        <w:rPr>
          <w:rFonts w:hint="eastAsia" w:ascii="方正仿宋_GBK" w:hAnsi="Times New Roman" w:eastAsia="方正仿宋_GBK" w:cs="Times New Roman"/>
          <w:sz w:val="32"/>
          <w:szCs w:val="32"/>
        </w:rPr>
        <w:t>项目单位应当严格执行项目财政资金预算。对发生停建、缓建、迁移、合并、分立、重大设计变更等变动事项和其他特殊情况确需调整的项目，项目单位应当按照规定程序报管委会审核后，向财政部门申请调整项目财政资金预算。</w:t>
      </w:r>
    </w:p>
    <w:p>
      <w:pPr>
        <w:spacing w:line="360" w:lineRule="auto"/>
        <w:ind w:firstLine="640" w:firstLineChars="200"/>
        <w:rPr>
          <w:rFonts w:ascii="方正仿宋_GBK" w:hAnsi="Times New Roman" w:eastAsia="方正仿宋_GBK" w:cs="Times New Roman"/>
          <w:sz w:val="32"/>
          <w:szCs w:val="32"/>
        </w:rPr>
      </w:pPr>
      <w:r>
        <w:rPr>
          <w:rFonts w:hint="eastAsia" w:ascii="方正仿宋_GBK" w:hAnsi="Times New Roman" w:eastAsia="方正仿宋_GBK" w:cs="Times New Roman"/>
          <w:sz w:val="32"/>
          <w:szCs w:val="32"/>
        </w:rPr>
        <w:t>财政部门应当根据经批准的预算，按照法律、行政法规和国库管理的有关规定，及时、足额办理政府投资资金拨付。</w:t>
      </w:r>
    </w:p>
    <w:p>
      <w:pPr>
        <w:pStyle w:val="2"/>
        <w:keepNext w:val="0"/>
        <w:keepLines w:val="0"/>
        <w:spacing w:before="312" w:beforeLines="100" w:after="156" w:afterLines="50" w:line="360" w:lineRule="auto"/>
        <w:jc w:val="center"/>
        <w:rPr>
          <w:rFonts w:ascii="方正小标宋_GBK" w:hAnsi="Times New Roman" w:eastAsia="方正小标宋_GBK" w:cs="Times New Roman"/>
          <w:b w:val="0"/>
          <w:bCs w:val="0"/>
          <w:sz w:val="32"/>
          <w:szCs w:val="32"/>
        </w:rPr>
      </w:pPr>
      <w:r>
        <w:rPr>
          <w:rFonts w:hint="eastAsia" w:ascii="方正小标宋_GBK" w:hAnsi="Times New Roman" w:eastAsia="方正小标宋_GBK" w:cs="Times New Roman"/>
          <w:b w:val="0"/>
          <w:bCs w:val="0"/>
          <w:sz w:val="32"/>
          <w:szCs w:val="32"/>
        </w:rPr>
        <w:t>第四章 政府投资项目实施</w:t>
      </w:r>
    </w:p>
    <w:p>
      <w:pPr>
        <w:pStyle w:val="3"/>
        <w:keepNext w:val="0"/>
        <w:keepLines w:val="0"/>
        <w:numPr>
          <w:ilvl w:val="0"/>
          <w:numId w:val="1"/>
        </w:numPr>
        <w:spacing w:before="156" w:beforeLines="50" w:after="0" w:line="360" w:lineRule="auto"/>
        <w:ind w:left="0" w:firstLine="707" w:firstLineChars="221"/>
        <w:rPr>
          <w:rFonts w:ascii="方正仿宋_GBK" w:hAnsi="Times New Roman" w:eastAsia="方正仿宋_GBK" w:cs="Times New Roman"/>
          <w:b w:val="0"/>
          <w:bCs w:val="0"/>
        </w:rPr>
      </w:pPr>
      <w:r>
        <w:rPr>
          <w:rFonts w:hint="eastAsia" w:ascii="方正仿宋_GBK" w:hAnsi="Times New Roman" w:eastAsia="方正仿宋_GBK" w:cs="Times New Roman"/>
          <w:b w:val="0"/>
          <w:bCs w:val="0"/>
        </w:rPr>
        <w:t>政府投资项目建设应当严格执行基本建设程序，按照批准的建设地点、建设规模和建设内容推进项目实施。</w:t>
      </w:r>
    </w:p>
    <w:p>
      <w:pPr>
        <w:pStyle w:val="3"/>
        <w:keepNext w:val="0"/>
        <w:keepLines w:val="0"/>
        <w:numPr>
          <w:ilvl w:val="0"/>
          <w:numId w:val="1"/>
        </w:numPr>
        <w:spacing w:before="156" w:beforeLines="50" w:after="0" w:line="360" w:lineRule="auto"/>
        <w:ind w:left="0" w:firstLine="707" w:firstLineChars="221"/>
        <w:rPr>
          <w:rFonts w:ascii="方正仿宋_GBK" w:hAnsi="Times New Roman" w:eastAsia="方正仿宋_GBK" w:cs="Times New Roman"/>
          <w:b w:val="0"/>
          <w:bCs w:val="0"/>
        </w:rPr>
      </w:pPr>
      <w:r>
        <w:rPr>
          <w:rFonts w:hint="eastAsia" w:ascii="方正仿宋_GBK" w:hAnsi="Times New Roman" w:eastAsia="方正仿宋_GBK" w:cs="Times New Roman"/>
          <w:b w:val="0"/>
          <w:bCs w:val="0"/>
        </w:rPr>
        <w:t>项目单位应严格按照批准的初步设计和总投资概算，委托有相应资质的设计单位进行施工图设计，设计规模、标准原则上不得超过经批准的初步设计。</w:t>
      </w:r>
    </w:p>
    <w:p>
      <w:pPr>
        <w:spacing w:line="360" w:lineRule="auto"/>
        <w:ind w:firstLine="640" w:firstLineChars="200"/>
        <w:rPr>
          <w:rFonts w:ascii="方正仿宋_GBK" w:hAnsi="Times New Roman" w:eastAsia="方正仿宋_GBK" w:cs="Times New Roman"/>
          <w:sz w:val="32"/>
          <w:szCs w:val="32"/>
        </w:rPr>
      </w:pPr>
      <w:r>
        <w:rPr>
          <w:rFonts w:hint="eastAsia" w:ascii="方正仿宋_GBK" w:hAnsi="Times New Roman" w:eastAsia="方正仿宋_GBK" w:cs="Times New Roman"/>
          <w:sz w:val="32"/>
          <w:szCs w:val="32"/>
        </w:rPr>
        <w:t>消防、人防、气象、城市管理等技术审查纳入项目施工图设计文件审查，按照重庆市房屋建筑和市政基础设施工程施工图联合审查管理相关规定执行。</w:t>
      </w:r>
    </w:p>
    <w:p>
      <w:pPr>
        <w:pStyle w:val="3"/>
        <w:keepNext w:val="0"/>
        <w:keepLines w:val="0"/>
        <w:numPr>
          <w:ilvl w:val="0"/>
          <w:numId w:val="1"/>
        </w:numPr>
        <w:spacing w:before="156" w:beforeLines="50" w:after="0" w:line="360" w:lineRule="auto"/>
        <w:ind w:left="0" w:firstLine="707" w:firstLineChars="221"/>
        <w:rPr>
          <w:rFonts w:ascii="方正仿宋_GBK" w:hAnsi="Times New Roman" w:eastAsia="方正仿宋_GBK" w:cs="Times New Roman"/>
          <w:b w:val="0"/>
          <w:bCs w:val="0"/>
        </w:rPr>
      </w:pPr>
      <w:r>
        <w:rPr>
          <w:rFonts w:hint="eastAsia" w:ascii="方正仿宋_GBK" w:hAnsi="Times New Roman" w:eastAsia="方正仿宋_GBK" w:cs="Times New Roman"/>
          <w:b w:val="0"/>
          <w:bCs w:val="0"/>
        </w:rPr>
        <w:t>依法必须进行招标的项目，发展改革部门在审批项目可行性研究报告时，应当一并批复项目招标范围、招标方式、招标组织形式等事项。</w:t>
      </w:r>
    </w:p>
    <w:p>
      <w:pPr>
        <w:spacing w:line="360" w:lineRule="auto"/>
        <w:ind w:firstLine="640" w:firstLineChars="200"/>
        <w:rPr>
          <w:rFonts w:ascii="方正仿宋_GBK" w:hAnsi="Times New Roman" w:eastAsia="方正仿宋_GBK" w:cs="Times New Roman"/>
          <w:sz w:val="32"/>
          <w:szCs w:val="32"/>
        </w:rPr>
      </w:pPr>
      <w:r>
        <w:rPr>
          <w:rFonts w:hint="eastAsia" w:ascii="方正仿宋_GBK" w:hAnsi="Times New Roman" w:eastAsia="方正仿宋_GBK" w:cs="Times New Roman"/>
          <w:sz w:val="32"/>
          <w:szCs w:val="32"/>
        </w:rPr>
        <w:t>发展改革部门和行业部门根据国家、重庆市有关规定和部门职责分工依法对项目招投标活动实行管理和监督。</w:t>
      </w:r>
    </w:p>
    <w:p>
      <w:pPr>
        <w:pStyle w:val="3"/>
        <w:keepNext w:val="0"/>
        <w:keepLines w:val="0"/>
        <w:numPr>
          <w:ilvl w:val="0"/>
          <w:numId w:val="1"/>
        </w:numPr>
        <w:spacing w:before="156" w:beforeLines="50" w:after="0" w:line="360" w:lineRule="auto"/>
        <w:ind w:left="0" w:firstLine="707" w:firstLineChars="221"/>
        <w:rPr>
          <w:rFonts w:ascii="方正仿宋_GBK" w:hAnsi="Times New Roman" w:eastAsia="方正仿宋_GBK" w:cs="Times New Roman"/>
          <w:b w:val="0"/>
          <w:bCs w:val="0"/>
        </w:rPr>
      </w:pPr>
      <w:r>
        <w:rPr>
          <w:rFonts w:hint="eastAsia" w:ascii="方正仿宋_GBK" w:hAnsi="Times New Roman" w:eastAsia="方正仿宋_GBK" w:cs="Times New Roman"/>
          <w:b w:val="0"/>
          <w:bCs w:val="0"/>
        </w:rPr>
        <w:t>政府投资项目实行覆盖咨询、设计、招标、施工、监理等全过程的合同管理制度，各行业部门（主管单位）依法对合同的订立、履行、变更、转让、终止等进行监督管理。</w:t>
      </w:r>
    </w:p>
    <w:p>
      <w:pPr>
        <w:pStyle w:val="3"/>
        <w:keepNext w:val="0"/>
        <w:keepLines w:val="0"/>
        <w:numPr>
          <w:ilvl w:val="0"/>
          <w:numId w:val="1"/>
        </w:numPr>
        <w:spacing w:before="156" w:beforeLines="50" w:after="0" w:line="360" w:lineRule="auto"/>
        <w:ind w:left="0" w:firstLine="707" w:firstLineChars="221"/>
        <w:rPr>
          <w:rFonts w:ascii="方正仿宋_GBK" w:hAnsi="Times New Roman" w:eastAsia="方正仿宋_GBK" w:cs="Times New Roman"/>
          <w:b w:val="0"/>
          <w:bCs w:val="0"/>
        </w:rPr>
      </w:pPr>
      <w:r>
        <w:rPr>
          <w:rFonts w:hint="eastAsia" w:ascii="方正仿宋_GBK" w:hAnsi="Times New Roman" w:eastAsia="方正仿宋_GBK" w:cs="Times New Roman"/>
          <w:b w:val="0"/>
          <w:bCs w:val="0"/>
        </w:rPr>
        <w:t>政府投资项目开工建设，应当符合有关法律、行政法规规定的建设条件。不符合规定的建设条件的，不得开工建设。确因特殊情况导致相关建设手续不完全齐备，现场基本具备施工安全生产条件的，按程序报管委会批准后，可提前动工。</w:t>
      </w:r>
    </w:p>
    <w:p>
      <w:pPr>
        <w:spacing w:line="360" w:lineRule="auto"/>
        <w:ind w:firstLine="640" w:firstLineChars="200"/>
        <w:rPr>
          <w:rFonts w:ascii="方正仿宋_GBK" w:hAnsi="Times New Roman" w:eastAsia="方正仿宋_GBK" w:cs="Times New Roman"/>
          <w:sz w:val="32"/>
          <w:szCs w:val="32"/>
        </w:rPr>
      </w:pPr>
      <w:r>
        <w:rPr>
          <w:rFonts w:hint="eastAsia" w:ascii="方正仿宋_GBK" w:hAnsi="Times New Roman" w:eastAsia="方正仿宋_GBK" w:cs="Times New Roman"/>
          <w:sz w:val="32"/>
          <w:szCs w:val="32"/>
        </w:rPr>
        <w:t>国家规定应当审批开工报告的重大政府投资项目，按照规定办理开工报告审批手续后方可开工建设。</w:t>
      </w:r>
    </w:p>
    <w:p>
      <w:pPr>
        <w:pStyle w:val="3"/>
        <w:keepNext w:val="0"/>
        <w:keepLines w:val="0"/>
        <w:numPr>
          <w:ilvl w:val="0"/>
          <w:numId w:val="1"/>
        </w:numPr>
        <w:spacing w:before="156" w:beforeLines="50" w:after="0" w:line="360" w:lineRule="auto"/>
        <w:ind w:left="0" w:firstLine="707" w:firstLineChars="221"/>
        <w:rPr>
          <w:rFonts w:ascii="方正仿宋_GBK" w:hAnsi="Times New Roman" w:eastAsia="方正仿宋_GBK" w:cs="Times New Roman"/>
          <w:b w:val="0"/>
          <w:bCs w:val="0"/>
        </w:rPr>
      </w:pPr>
      <w:r>
        <w:rPr>
          <w:rFonts w:hint="eastAsia" w:ascii="方正仿宋_GBK" w:hAnsi="Times New Roman" w:eastAsia="方正仿宋_GBK" w:cs="Times New Roman"/>
          <w:b w:val="0"/>
          <w:bCs w:val="0"/>
        </w:rPr>
        <w:t>重大政府投资项目推行投资决策、工程建设全过程咨询服务。</w:t>
      </w:r>
    </w:p>
    <w:p>
      <w:pPr>
        <w:spacing w:line="360" w:lineRule="auto"/>
        <w:ind w:firstLine="640" w:firstLineChars="200"/>
        <w:rPr>
          <w:rFonts w:ascii="方正仿宋_GBK" w:hAnsi="Times New Roman" w:eastAsia="方正仿宋_GBK" w:cs="Times New Roman"/>
          <w:sz w:val="32"/>
          <w:szCs w:val="32"/>
        </w:rPr>
      </w:pPr>
      <w:r>
        <w:rPr>
          <w:rFonts w:hint="eastAsia" w:ascii="方正仿宋_GBK" w:hAnsi="Times New Roman" w:eastAsia="方正仿宋_GBK" w:cs="Times New Roman"/>
          <w:sz w:val="32"/>
          <w:szCs w:val="32"/>
        </w:rPr>
        <w:t>全过程工程咨询服务范围包括可行性研究、概算编制等投资决策综合性咨询和招标代理、勘察、设计、监理、造价、项目管理等工程建设全过程咨询。</w:t>
      </w:r>
    </w:p>
    <w:p>
      <w:pPr>
        <w:spacing w:line="360" w:lineRule="auto"/>
        <w:ind w:firstLine="640" w:firstLineChars="200"/>
        <w:rPr>
          <w:rFonts w:ascii="方正仿宋_GBK" w:hAnsi="Times New Roman" w:eastAsia="方正仿宋_GBK" w:cs="Times New Roman"/>
          <w:sz w:val="32"/>
          <w:szCs w:val="32"/>
        </w:rPr>
      </w:pPr>
      <w:r>
        <w:rPr>
          <w:rFonts w:hint="eastAsia" w:ascii="方正仿宋_GBK" w:hAnsi="Times New Roman" w:eastAsia="方正仿宋_GBK" w:cs="Times New Roman"/>
          <w:sz w:val="32"/>
          <w:szCs w:val="32"/>
        </w:rPr>
        <w:t>鼓励重大政府投资项目单位委托第三方设计单位开展设计优化评审。探索建立政府投资项目设计与投资控制结果挂钩奖惩机制。</w:t>
      </w:r>
    </w:p>
    <w:p>
      <w:pPr>
        <w:pStyle w:val="3"/>
        <w:keepNext w:val="0"/>
        <w:keepLines w:val="0"/>
        <w:numPr>
          <w:ilvl w:val="0"/>
          <w:numId w:val="1"/>
        </w:numPr>
        <w:spacing w:before="156" w:beforeLines="50" w:after="0" w:line="360" w:lineRule="auto"/>
        <w:ind w:left="0" w:firstLine="707" w:firstLineChars="221"/>
        <w:rPr>
          <w:rFonts w:ascii="方正仿宋_GBK" w:hAnsi="Times New Roman" w:eastAsia="方正仿宋_GBK" w:cs="Times New Roman"/>
          <w:b w:val="0"/>
          <w:bCs w:val="0"/>
        </w:rPr>
      </w:pPr>
      <w:r>
        <w:rPr>
          <w:rFonts w:hint="eastAsia" w:ascii="方正仿宋_GBK" w:hAnsi="Times New Roman" w:eastAsia="方正仿宋_GBK" w:cs="Times New Roman"/>
          <w:b w:val="0"/>
          <w:bCs w:val="0"/>
        </w:rPr>
        <w:t>政府投资项目应当严格按照批准的设计文件和图纸进行施工建设，原则上不得变更。因规划、政策、技术、水文、地质等原因确需变更设计的，在遵循科学、合理、真实、经济和及时的原则下，按规定程序办理。</w:t>
      </w:r>
    </w:p>
    <w:p>
      <w:pPr>
        <w:spacing w:line="360" w:lineRule="auto"/>
        <w:ind w:firstLine="640" w:firstLineChars="200"/>
        <w:rPr>
          <w:rFonts w:ascii="方正仿宋_GBK" w:hAnsi="Times New Roman" w:eastAsia="方正仿宋_GBK" w:cs="Times New Roman"/>
          <w:sz w:val="32"/>
          <w:szCs w:val="32"/>
        </w:rPr>
      </w:pPr>
      <w:r>
        <w:rPr>
          <w:rFonts w:hint="eastAsia" w:ascii="方正仿宋_GBK" w:hAnsi="Times New Roman" w:eastAsia="方正仿宋_GBK" w:cs="Times New Roman"/>
          <w:sz w:val="32"/>
          <w:szCs w:val="32"/>
        </w:rPr>
        <w:t>（一）设计变更：</w:t>
      </w:r>
    </w:p>
    <w:p>
      <w:pPr>
        <w:spacing w:line="360" w:lineRule="auto"/>
        <w:ind w:firstLine="640" w:firstLineChars="200"/>
        <w:rPr>
          <w:rFonts w:ascii="方正仿宋_GBK" w:hAnsi="Times New Roman" w:eastAsia="方正仿宋_GBK" w:cs="Times New Roman"/>
          <w:sz w:val="32"/>
          <w:szCs w:val="32"/>
        </w:rPr>
      </w:pPr>
      <w:r>
        <w:rPr>
          <w:rFonts w:hint="eastAsia" w:ascii="方正仿宋_GBK" w:hAnsi="Times New Roman" w:eastAsia="方正仿宋_GBK" w:cs="Times New Roman"/>
          <w:sz w:val="32"/>
          <w:szCs w:val="32"/>
        </w:rPr>
        <w:t>对于投资估算</w:t>
      </w:r>
      <w:r>
        <w:rPr>
          <w:rFonts w:ascii="方正仿宋_GBK" w:hAnsi="Times New Roman" w:eastAsia="方正仿宋_GBK" w:cs="Times New Roman"/>
          <w:sz w:val="32"/>
          <w:szCs w:val="32"/>
        </w:rPr>
        <w:t>400万元及以下的一般设计变更，由项目单位自行负责处理。</w:t>
      </w:r>
    </w:p>
    <w:p>
      <w:pPr>
        <w:spacing w:line="360" w:lineRule="auto"/>
        <w:ind w:firstLine="640" w:firstLineChars="200"/>
        <w:rPr>
          <w:rFonts w:ascii="方正仿宋_GBK" w:hAnsi="Times New Roman" w:eastAsia="方正仿宋_GBK" w:cs="Times New Roman"/>
          <w:sz w:val="32"/>
          <w:szCs w:val="32"/>
        </w:rPr>
      </w:pPr>
      <w:r>
        <w:rPr>
          <w:rFonts w:hint="eastAsia" w:ascii="方正仿宋_GBK" w:hAnsi="Times New Roman" w:eastAsia="方正仿宋_GBK" w:cs="Times New Roman"/>
          <w:sz w:val="32"/>
          <w:szCs w:val="32"/>
        </w:rPr>
        <w:t>对于投资估算</w:t>
      </w:r>
      <w:r>
        <w:rPr>
          <w:rFonts w:ascii="方正仿宋_GBK" w:hAnsi="Times New Roman" w:eastAsia="方正仿宋_GBK" w:cs="Times New Roman"/>
          <w:sz w:val="32"/>
          <w:szCs w:val="32"/>
        </w:rPr>
        <w:t>400万元及以下的重大设计变更，由行业部门负责技术审查；经济评审由项目单位自行负责。</w:t>
      </w:r>
    </w:p>
    <w:p>
      <w:pPr>
        <w:spacing w:line="360" w:lineRule="auto"/>
        <w:ind w:firstLine="640" w:firstLineChars="200"/>
        <w:rPr>
          <w:rFonts w:ascii="方正仿宋_GBK" w:hAnsi="Times New Roman" w:eastAsia="方正仿宋_GBK" w:cs="Times New Roman"/>
          <w:sz w:val="32"/>
          <w:szCs w:val="32"/>
        </w:rPr>
      </w:pPr>
      <w:r>
        <w:rPr>
          <w:rFonts w:hint="eastAsia" w:ascii="方正仿宋_GBK" w:hAnsi="Times New Roman" w:eastAsia="方正仿宋_GBK" w:cs="Times New Roman"/>
          <w:sz w:val="32"/>
          <w:szCs w:val="32"/>
        </w:rPr>
        <w:t>对于投资估算</w:t>
      </w:r>
      <w:r>
        <w:rPr>
          <w:rFonts w:ascii="方正仿宋_GBK" w:hAnsi="Times New Roman" w:eastAsia="方正仿宋_GBK" w:cs="Times New Roman"/>
          <w:sz w:val="32"/>
          <w:szCs w:val="32"/>
        </w:rPr>
        <w:t>400~1000万元以上的设计变更（包括一般和重大设计变更），先由行业部门组织技术方案初审，再报管委会审议通过后方可实施；经济评审由项目单位自行负责。</w:t>
      </w:r>
    </w:p>
    <w:p>
      <w:pPr>
        <w:spacing w:line="360" w:lineRule="auto"/>
        <w:ind w:firstLine="640" w:firstLineChars="200"/>
        <w:rPr>
          <w:rFonts w:ascii="方正仿宋_GBK" w:hAnsi="Times New Roman" w:eastAsia="方正仿宋_GBK" w:cs="Times New Roman"/>
          <w:sz w:val="32"/>
          <w:szCs w:val="32"/>
        </w:rPr>
      </w:pPr>
      <w:r>
        <w:rPr>
          <w:rFonts w:hint="eastAsia" w:ascii="方正仿宋_GBK" w:hAnsi="Times New Roman" w:eastAsia="方正仿宋_GBK" w:cs="Times New Roman"/>
          <w:sz w:val="32"/>
          <w:szCs w:val="32"/>
        </w:rPr>
        <w:t>对于投资估算</w:t>
      </w:r>
      <w:r>
        <w:rPr>
          <w:rFonts w:ascii="方正仿宋_GBK" w:hAnsi="Times New Roman" w:eastAsia="方正仿宋_GBK" w:cs="Times New Roman"/>
          <w:sz w:val="32"/>
          <w:szCs w:val="32"/>
        </w:rPr>
        <w:t>1000万元以上的设计变更（包括一般和重大设计变更），先由行业部门组织技术方案初审，再报管委会审议通过后方可实施；经济评审由财评中心负责。</w:t>
      </w:r>
    </w:p>
    <w:p>
      <w:pPr>
        <w:spacing w:line="360" w:lineRule="auto"/>
        <w:ind w:firstLine="640" w:firstLineChars="200"/>
        <w:rPr>
          <w:rFonts w:ascii="方正仿宋_GBK" w:hAnsi="Times New Roman" w:eastAsia="方正仿宋_GBK" w:cs="Times New Roman"/>
          <w:sz w:val="32"/>
          <w:szCs w:val="32"/>
        </w:rPr>
      </w:pPr>
      <w:r>
        <w:rPr>
          <w:rFonts w:hint="eastAsia" w:ascii="方正仿宋_GBK" w:hAnsi="Times New Roman" w:eastAsia="方正仿宋_GBK" w:cs="Times New Roman"/>
          <w:sz w:val="32"/>
          <w:szCs w:val="32"/>
        </w:rPr>
        <w:t>（二）若变更后累计金额未超过项目总投资概算的，由项目单位完成工程变更洽商单，招标范围内的各项单项工程投资可在概算审定金额内调剂使用。不允许随意“甩项”，不得减少功能性项目建设；</w:t>
      </w:r>
    </w:p>
    <w:p>
      <w:pPr>
        <w:spacing w:line="360" w:lineRule="auto"/>
        <w:ind w:firstLine="640" w:firstLineChars="200"/>
        <w:rPr>
          <w:rFonts w:ascii="方正仿宋_GBK" w:hAnsi="Times New Roman" w:eastAsia="方正仿宋_GBK" w:cs="Times New Roman"/>
          <w:sz w:val="32"/>
          <w:szCs w:val="32"/>
        </w:rPr>
      </w:pPr>
      <w:r>
        <w:rPr>
          <w:rFonts w:hint="eastAsia" w:ascii="方正仿宋_GBK" w:hAnsi="Times New Roman" w:eastAsia="方正仿宋_GBK" w:cs="Times New Roman"/>
          <w:sz w:val="32"/>
          <w:szCs w:val="32"/>
        </w:rPr>
        <w:t>（三）若变更后累计金额超过项目总投资概算的，按超概管理程序执行；</w:t>
      </w:r>
    </w:p>
    <w:p>
      <w:pPr>
        <w:spacing w:line="360" w:lineRule="auto"/>
        <w:ind w:firstLine="640" w:firstLineChars="200"/>
        <w:rPr>
          <w:rFonts w:ascii="方正仿宋_GBK" w:hAnsi="Times New Roman" w:eastAsia="方正仿宋_GBK" w:cs="Times New Roman"/>
          <w:sz w:val="32"/>
          <w:szCs w:val="32"/>
        </w:rPr>
      </w:pPr>
      <w:r>
        <w:rPr>
          <w:rFonts w:hint="eastAsia" w:ascii="方正仿宋_GBK" w:hAnsi="Times New Roman" w:eastAsia="方正仿宋_GBK" w:cs="Times New Roman"/>
          <w:sz w:val="32"/>
          <w:szCs w:val="32"/>
        </w:rPr>
        <w:t>（四）涉及规划方案或初步设计调整的，由项目单位向原审批部门分别提出申请，按基本建设程序重新审批；</w:t>
      </w:r>
    </w:p>
    <w:p>
      <w:pPr>
        <w:spacing w:line="360" w:lineRule="auto"/>
        <w:ind w:firstLine="640" w:firstLineChars="200"/>
        <w:rPr>
          <w:rFonts w:ascii="方正仿宋_GBK" w:hAnsi="Times New Roman" w:eastAsia="方正仿宋_GBK" w:cs="Times New Roman"/>
          <w:sz w:val="32"/>
          <w:szCs w:val="32"/>
        </w:rPr>
      </w:pPr>
      <w:r>
        <w:rPr>
          <w:rFonts w:hint="eastAsia" w:ascii="方正仿宋_GBK" w:hAnsi="Times New Roman" w:eastAsia="方正仿宋_GBK" w:cs="Times New Roman"/>
          <w:sz w:val="32"/>
          <w:szCs w:val="32"/>
        </w:rPr>
        <w:t>（五）拟变更建设地点或者拟对建设规模、建设内容等作较大变更的，应当重新编制报批可行性研究报告。</w:t>
      </w:r>
    </w:p>
    <w:p>
      <w:pPr>
        <w:pStyle w:val="3"/>
        <w:keepNext w:val="0"/>
        <w:keepLines w:val="0"/>
        <w:numPr>
          <w:ilvl w:val="0"/>
          <w:numId w:val="1"/>
        </w:numPr>
        <w:spacing w:before="156" w:beforeLines="50" w:after="0" w:line="360" w:lineRule="auto"/>
        <w:ind w:left="0" w:firstLine="707" w:firstLineChars="221"/>
        <w:rPr>
          <w:rFonts w:ascii="方正仿宋_GBK" w:hAnsi="Times New Roman" w:eastAsia="方正仿宋_GBK" w:cs="Times New Roman"/>
          <w:b w:val="0"/>
          <w:bCs w:val="0"/>
        </w:rPr>
      </w:pPr>
      <w:r>
        <w:rPr>
          <w:rFonts w:hint="eastAsia" w:ascii="方正仿宋_GBK" w:hAnsi="Times New Roman" w:eastAsia="方正仿宋_GBK" w:cs="Times New Roman"/>
          <w:b w:val="0"/>
          <w:bCs w:val="0"/>
        </w:rPr>
        <w:t>政府投资项目所需资金应当按照国家有关规定确保落实到位，不得拖欠或由施工单位垫资建设。</w:t>
      </w:r>
    </w:p>
    <w:p>
      <w:pPr>
        <w:spacing w:line="360" w:lineRule="auto"/>
        <w:ind w:firstLine="640" w:firstLineChars="200"/>
        <w:rPr>
          <w:rFonts w:ascii="方正仿宋_GBK" w:hAnsi="Times New Roman" w:eastAsia="方正仿宋_GBK" w:cs="Times New Roman"/>
          <w:sz w:val="32"/>
          <w:szCs w:val="32"/>
        </w:rPr>
      </w:pPr>
      <w:r>
        <w:rPr>
          <w:rFonts w:hint="eastAsia" w:ascii="方正仿宋_GBK" w:hAnsi="Times New Roman" w:eastAsia="方正仿宋_GBK" w:cs="Times New Roman"/>
          <w:sz w:val="32"/>
          <w:szCs w:val="32"/>
        </w:rPr>
        <w:t>全面推行施工过程结算。项目单位应当严格按照合同约定的工程量计算规则，按期对已经完成的、经验收或初验合格的工程量进行计量，并按财政有关规定开展资金结算。不得弄虚作假，超工程进度支付，更不得超合同金额支付。</w:t>
      </w:r>
    </w:p>
    <w:p>
      <w:pPr>
        <w:spacing w:line="360" w:lineRule="auto"/>
        <w:ind w:firstLine="640" w:firstLineChars="200"/>
        <w:rPr>
          <w:rFonts w:ascii="方正仿宋_GBK" w:hAnsi="Times New Roman" w:eastAsia="方正仿宋_GBK" w:cs="Times New Roman"/>
          <w:sz w:val="32"/>
          <w:szCs w:val="32"/>
        </w:rPr>
      </w:pPr>
      <w:r>
        <w:rPr>
          <w:rFonts w:hint="eastAsia" w:ascii="方正仿宋_GBK" w:hAnsi="Times New Roman" w:eastAsia="方正仿宋_GBK" w:cs="Times New Roman"/>
          <w:sz w:val="32"/>
          <w:szCs w:val="32"/>
        </w:rPr>
        <w:t>因工程设计变更等因素增加的工程投资，由项目单位根据实际完成的合格工程量，按施工合同约定的计价条款及进度支付比例审核支付。</w:t>
      </w:r>
    </w:p>
    <w:p>
      <w:pPr>
        <w:pStyle w:val="3"/>
        <w:keepNext w:val="0"/>
        <w:keepLines w:val="0"/>
        <w:numPr>
          <w:ilvl w:val="0"/>
          <w:numId w:val="1"/>
        </w:numPr>
        <w:spacing w:before="156" w:beforeLines="50" w:after="0" w:line="360" w:lineRule="auto"/>
        <w:ind w:left="0" w:firstLine="707" w:firstLineChars="221"/>
        <w:rPr>
          <w:rFonts w:ascii="方正仿宋_GBK" w:hAnsi="Times New Roman" w:eastAsia="方正仿宋_GBK" w:cs="Times New Roman"/>
          <w:b w:val="0"/>
          <w:bCs w:val="0"/>
        </w:rPr>
      </w:pPr>
      <w:r>
        <w:rPr>
          <w:rFonts w:hint="eastAsia" w:ascii="方正仿宋_GBK" w:hAnsi="Times New Roman" w:eastAsia="方正仿宋_GBK" w:cs="Times New Roman"/>
          <w:b w:val="0"/>
          <w:bCs w:val="0"/>
        </w:rPr>
        <w:t>政府投资项目严格遵循“估算控制概算，概算控制决算”的原则，实行全过程投资控制。</w:t>
      </w:r>
    </w:p>
    <w:p>
      <w:pPr>
        <w:spacing w:line="360" w:lineRule="auto"/>
        <w:ind w:firstLine="640" w:firstLineChars="200"/>
        <w:rPr>
          <w:rFonts w:ascii="方正仿宋_GBK" w:hAnsi="Times New Roman" w:eastAsia="方正仿宋_GBK" w:cs="Times New Roman"/>
          <w:sz w:val="32"/>
          <w:szCs w:val="32"/>
        </w:rPr>
      </w:pPr>
      <w:r>
        <w:rPr>
          <w:rFonts w:hint="eastAsia" w:ascii="方正仿宋_GBK" w:hAnsi="Times New Roman" w:eastAsia="方正仿宋_GBK" w:cs="Times New Roman"/>
          <w:sz w:val="32"/>
          <w:szCs w:val="32"/>
        </w:rPr>
        <w:t>项目单位是投资控制的第一责任主体，负责全过程的投资管理。实行代建制的，由建设管理代理机构按照合同约定，承担相关责任。设计、勘察、咨询评估、施工、设备材料供应等参与单位按照合同约定，承担相应的投资控制责任。</w:t>
      </w:r>
    </w:p>
    <w:p>
      <w:pPr>
        <w:pStyle w:val="3"/>
        <w:keepNext w:val="0"/>
        <w:keepLines w:val="0"/>
        <w:numPr>
          <w:ilvl w:val="0"/>
          <w:numId w:val="1"/>
        </w:numPr>
        <w:spacing w:before="156" w:beforeLines="50" w:after="0" w:line="360" w:lineRule="auto"/>
        <w:ind w:left="0" w:firstLine="707" w:firstLineChars="221"/>
        <w:rPr>
          <w:rFonts w:ascii="方正仿宋_GBK" w:hAnsi="Times New Roman" w:eastAsia="方正仿宋_GBK" w:cs="Times New Roman"/>
          <w:b w:val="0"/>
          <w:bCs w:val="0"/>
        </w:rPr>
      </w:pPr>
      <w:r>
        <w:rPr>
          <w:rFonts w:hint="eastAsia" w:ascii="方正仿宋_GBK" w:hAnsi="Times New Roman" w:eastAsia="方正仿宋_GBK" w:cs="Times New Roman"/>
          <w:b w:val="0"/>
          <w:bCs w:val="0"/>
        </w:rPr>
        <w:t>基本预备费是为解决因不可预见因素导致额外费用支出而事先预留的费用，由发展改革部门在概算总投资中一并批复。</w:t>
      </w:r>
    </w:p>
    <w:p>
      <w:pPr>
        <w:spacing w:line="360" w:lineRule="auto"/>
        <w:ind w:firstLine="640" w:firstLineChars="200"/>
        <w:rPr>
          <w:rFonts w:ascii="方正仿宋_GBK" w:hAnsi="Times New Roman" w:eastAsia="方正仿宋_GBK" w:cs="Times New Roman"/>
          <w:sz w:val="32"/>
          <w:szCs w:val="32"/>
        </w:rPr>
      </w:pPr>
      <w:r>
        <w:rPr>
          <w:rFonts w:hint="eastAsia" w:ascii="方正仿宋_GBK" w:hAnsi="Times New Roman" w:eastAsia="方正仿宋_GBK" w:cs="Times New Roman"/>
          <w:sz w:val="32"/>
          <w:szCs w:val="32"/>
        </w:rPr>
        <w:t>项目建设过程中符合下列条件之一，且确需动用基本预备费时，项目单位应提出基本预备费动用申请，4</w:t>
      </w:r>
      <w:r>
        <w:rPr>
          <w:rFonts w:ascii="方正仿宋_GBK" w:hAnsi="Times New Roman" w:eastAsia="方正仿宋_GBK" w:cs="Times New Roman"/>
          <w:sz w:val="32"/>
          <w:szCs w:val="32"/>
        </w:rPr>
        <w:t>00</w:t>
      </w:r>
      <w:r>
        <w:rPr>
          <w:rFonts w:hint="eastAsia" w:ascii="方正仿宋_GBK" w:hAnsi="Times New Roman" w:eastAsia="方正仿宋_GBK" w:cs="Times New Roman"/>
          <w:sz w:val="32"/>
          <w:szCs w:val="32"/>
        </w:rPr>
        <w:t>万以下的，报行业部门（主管单位）审批；4</w:t>
      </w:r>
      <w:r>
        <w:rPr>
          <w:rFonts w:ascii="方正仿宋_GBK" w:hAnsi="Times New Roman" w:eastAsia="方正仿宋_GBK" w:cs="Times New Roman"/>
          <w:sz w:val="32"/>
          <w:szCs w:val="32"/>
        </w:rPr>
        <w:t>00</w:t>
      </w:r>
      <w:r>
        <w:rPr>
          <w:rFonts w:hint="eastAsia" w:ascii="方正仿宋_GBK" w:hAnsi="Times New Roman" w:eastAsia="方正仿宋_GBK" w:cs="Times New Roman"/>
          <w:sz w:val="32"/>
          <w:szCs w:val="32"/>
        </w:rPr>
        <w:t>万元及以上的，报管委会专题会审批。</w:t>
      </w:r>
    </w:p>
    <w:p>
      <w:pPr>
        <w:spacing w:line="360" w:lineRule="auto"/>
        <w:ind w:firstLine="640" w:firstLineChars="200"/>
        <w:rPr>
          <w:rFonts w:ascii="方正仿宋_GBK" w:hAnsi="方正仿宋简体" w:eastAsia="方正仿宋_GBK" w:cs="Times New Roman"/>
          <w:sz w:val="32"/>
          <w:szCs w:val="32"/>
        </w:rPr>
      </w:pPr>
      <w:r>
        <w:rPr>
          <w:rFonts w:hint="eastAsia" w:ascii="方正仿宋_GBK" w:hAnsi="方正仿宋简体" w:eastAsia="方正仿宋_GBK" w:cs="Times New Roman"/>
          <w:sz w:val="32"/>
          <w:szCs w:val="32"/>
        </w:rPr>
        <w:t>（一）经审查同意的变更而增加的工程项目和费用；</w:t>
      </w:r>
    </w:p>
    <w:p>
      <w:pPr>
        <w:spacing w:line="360" w:lineRule="auto"/>
        <w:ind w:firstLine="640" w:firstLineChars="200"/>
        <w:rPr>
          <w:rFonts w:ascii="方正仿宋_GBK" w:hAnsi="Times New Roman" w:eastAsia="方正仿宋_GBK" w:cs="Times New Roman"/>
          <w:sz w:val="32"/>
          <w:szCs w:val="32"/>
        </w:rPr>
      </w:pPr>
      <w:r>
        <w:rPr>
          <w:rFonts w:hint="eastAsia" w:ascii="方正仿宋_GBK" w:hAnsi="方正仿宋简体" w:eastAsia="方正仿宋_GBK" w:cs="Times New Roman"/>
          <w:sz w:val="32"/>
          <w:szCs w:val="32"/>
        </w:rPr>
        <w:t>（二）国家政策、规范调整而增加的费用；</w:t>
      </w:r>
    </w:p>
    <w:p>
      <w:pPr>
        <w:spacing w:line="360" w:lineRule="auto"/>
        <w:ind w:firstLine="640" w:firstLineChars="200"/>
        <w:rPr>
          <w:rFonts w:ascii="方正仿宋_GBK" w:hAnsi="方正仿宋简体" w:eastAsia="方正仿宋_GBK" w:cs="Times New Roman"/>
          <w:sz w:val="32"/>
          <w:szCs w:val="32"/>
        </w:rPr>
      </w:pPr>
      <w:r>
        <w:rPr>
          <w:rFonts w:hint="eastAsia" w:ascii="方正仿宋_GBK" w:hAnsi="方正仿宋简体" w:eastAsia="方正仿宋_GBK" w:cs="Times New Roman"/>
          <w:sz w:val="32"/>
          <w:szCs w:val="32"/>
        </w:rPr>
        <w:t>（三）竣工验收时，为鉴定工程质量对隐蔽工程进行的挖掘和修复费用；</w:t>
      </w:r>
    </w:p>
    <w:p>
      <w:pPr>
        <w:spacing w:line="360" w:lineRule="auto"/>
        <w:ind w:firstLine="640" w:firstLineChars="200"/>
        <w:rPr>
          <w:rFonts w:ascii="方正仿宋_GBK" w:hAnsi="Times New Roman" w:eastAsia="方正仿宋_GBK" w:cs="Times New Roman"/>
          <w:sz w:val="32"/>
          <w:szCs w:val="32"/>
        </w:rPr>
      </w:pPr>
      <w:r>
        <w:rPr>
          <w:rFonts w:hint="eastAsia" w:ascii="方正仿宋_GBK" w:hAnsi="方正仿宋简体" w:eastAsia="方正仿宋_GBK" w:cs="Times New Roman"/>
          <w:sz w:val="32"/>
          <w:szCs w:val="32"/>
        </w:rPr>
        <w:t>（四）为解决非承包人原因造成的意外事故而增加的工程项目和费用；</w:t>
      </w:r>
    </w:p>
    <w:p>
      <w:pPr>
        <w:spacing w:line="360" w:lineRule="auto"/>
        <w:ind w:firstLine="640" w:firstLineChars="200"/>
        <w:rPr>
          <w:rFonts w:ascii="方正仿宋_GBK" w:hAnsi="Times New Roman" w:eastAsia="方正仿宋_GBK" w:cs="Times New Roman"/>
          <w:sz w:val="32"/>
          <w:szCs w:val="32"/>
        </w:rPr>
      </w:pPr>
      <w:r>
        <w:rPr>
          <w:rFonts w:hint="eastAsia" w:ascii="方正仿宋_GBK" w:hAnsi="方正仿宋简体" w:eastAsia="方正仿宋_GBK" w:cs="Times New Roman"/>
          <w:sz w:val="32"/>
          <w:szCs w:val="32"/>
        </w:rPr>
        <w:t>（五）因其它不可预见因素而增加的费用。</w:t>
      </w:r>
    </w:p>
    <w:p>
      <w:pPr>
        <w:spacing w:line="360" w:lineRule="auto"/>
        <w:ind w:firstLine="640" w:firstLineChars="200"/>
        <w:rPr>
          <w:rFonts w:ascii="方正仿宋_GBK" w:hAnsi="Times New Roman" w:eastAsia="方正仿宋_GBK" w:cs="Times New Roman"/>
          <w:sz w:val="32"/>
          <w:szCs w:val="32"/>
        </w:rPr>
      </w:pPr>
      <w:r>
        <w:rPr>
          <w:rFonts w:hint="eastAsia" w:ascii="方正仿宋_GBK" w:hAnsi="Times New Roman" w:eastAsia="方正仿宋_GBK" w:cs="Times New Roman"/>
          <w:sz w:val="32"/>
          <w:szCs w:val="32"/>
        </w:rPr>
        <w:t>基本预备费动用额度应严格控制在概算批复金额之内。对使用基本预备费可以解决的项目，不予调整概算。</w:t>
      </w:r>
    </w:p>
    <w:p>
      <w:pPr>
        <w:pStyle w:val="3"/>
        <w:keepNext w:val="0"/>
        <w:keepLines w:val="0"/>
        <w:numPr>
          <w:ilvl w:val="0"/>
          <w:numId w:val="1"/>
        </w:numPr>
        <w:spacing w:before="156" w:beforeLines="50" w:after="0" w:line="360" w:lineRule="auto"/>
        <w:ind w:left="0" w:firstLine="707" w:firstLineChars="221"/>
        <w:rPr>
          <w:rFonts w:ascii="方正仿宋_GBK" w:hAnsi="Times New Roman" w:eastAsia="方正仿宋_GBK" w:cs="Times New Roman"/>
          <w:b w:val="0"/>
          <w:bCs w:val="0"/>
        </w:rPr>
      </w:pPr>
      <w:r>
        <w:rPr>
          <w:rFonts w:hint="eastAsia" w:ascii="方正仿宋_GBK" w:hAnsi="Times New Roman" w:eastAsia="方正仿宋_GBK" w:cs="Times New Roman"/>
          <w:b w:val="0"/>
          <w:bCs w:val="0"/>
        </w:rPr>
        <w:t>政府投资项目建设投资原则上不得超过经批复的总投资概算。</w:t>
      </w:r>
    </w:p>
    <w:p>
      <w:pPr>
        <w:spacing w:line="360" w:lineRule="auto"/>
        <w:ind w:firstLine="640" w:firstLineChars="200"/>
        <w:rPr>
          <w:rFonts w:ascii="方正仿宋_GBK" w:hAnsi="Times New Roman" w:eastAsia="方正仿宋_GBK" w:cs="Times New Roman"/>
          <w:sz w:val="32"/>
          <w:szCs w:val="32"/>
        </w:rPr>
      </w:pPr>
      <w:r>
        <w:rPr>
          <w:rFonts w:hint="eastAsia" w:ascii="方正仿宋_GBK" w:hAnsi="Times New Roman" w:eastAsia="方正仿宋_GBK" w:cs="Times New Roman"/>
          <w:sz w:val="32"/>
          <w:szCs w:val="32"/>
        </w:rPr>
        <w:t>项目建设过程中，因项目单位以及相关单位责任造成超出投资概算，已按本办法相关规定追究责任的，或因国家政策调整、价格上涨、地质条件发生重大变化等原因确需增加投资概算的，项目单位应当提出调整方案及资金来源，</w:t>
      </w:r>
      <w:bookmarkStart w:id="16" w:name="_Hlk25912489"/>
      <w:r>
        <w:rPr>
          <w:rFonts w:hint="eastAsia" w:ascii="方正仿宋_GBK" w:hAnsi="Times New Roman" w:eastAsia="方正仿宋_GBK" w:cs="Times New Roman"/>
          <w:sz w:val="32"/>
          <w:szCs w:val="32"/>
        </w:rPr>
        <w:t>经以下审核程序同意后，</w:t>
      </w:r>
      <w:bookmarkEnd w:id="16"/>
      <w:r>
        <w:rPr>
          <w:rFonts w:hint="eastAsia" w:ascii="方正仿宋_GBK" w:hAnsi="Times New Roman" w:eastAsia="方正仿宋_GBK" w:cs="Times New Roman"/>
          <w:sz w:val="32"/>
          <w:szCs w:val="32"/>
        </w:rPr>
        <w:t>再向发展改革部门提出投资概算调整申请。</w:t>
      </w:r>
    </w:p>
    <w:p>
      <w:pPr>
        <w:spacing w:line="360" w:lineRule="auto"/>
        <w:ind w:firstLine="640" w:firstLineChars="200"/>
        <w:rPr>
          <w:rFonts w:ascii="方正仿宋_GBK" w:hAnsi="Times New Roman" w:eastAsia="方正仿宋_GBK" w:cs="Times New Roman"/>
          <w:sz w:val="32"/>
          <w:szCs w:val="32"/>
        </w:rPr>
      </w:pPr>
      <w:r>
        <w:rPr>
          <w:rFonts w:hint="eastAsia" w:ascii="方正仿宋_GBK" w:hAnsi="Times New Roman" w:eastAsia="方正仿宋_GBK" w:cs="Times New Roman"/>
          <w:sz w:val="32"/>
          <w:szCs w:val="32"/>
        </w:rPr>
        <w:t>（一）调整幅度小于原批复概算总投资10%（不含10%）的，按以下要求执行：</w:t>
      </w:r>
    </w:p>
    <w:p>
      <w:pPr>
        <w:spacing w:line="360" w:lineRule="auto"/>
        <w:ind w:firstLine="640" w:firstLineChars="200"/>
        <w:rPr>
          <w:rFonts w:ascii="方正仿宋_GBK" w:hAnsi="Times New Roman" w:eastAsia="方正仿宋_GBK" w:cs="Times New Roman"/>
          <w:sz w:val="32"/>
          <w:szCs w:val="32"/>
        </w:rPr>
      </w:pPr>
      <w:r>
        <w:rPr>
          <w:rFonts w:hint="eastAsia" w:ascii="方正仿宋_GBK" w:hAnsi="Times New Roman" w:eastAsia="方正仿宋_GBK" w:cs="Times New Roman"/>
          <w:sz w:val="32"/>
          <w:szCs w:val="32"/>
        </w:rPr>
        <w:t>1、调整绝对金额在</w:t>
      </w:r>
      <w:r>
        <w:rPr>
          <w:rFonts w:ascii="方正仿宋_GBK" w:hAnsi="Times New Roman" w:eastAsia="方正仿宋_GBK" w:cs="Times New Roman"/>
          <w:sz w:val="32"/>
          <w:szCs w:val="32"/>
        </w:rPr>
        <w:t>1</w:t>
      </w:r>
      <w:r>
        <w:rPr>
          <w:rFonts w:hint="eastAsia" w:ascii="方正仿宋_GBK" w:hAnsi="Times New Roman" w:eastAsia="方正仿宋_GBK" w:cs="Times New Roman"/>
          <w:sz w:val="32"/>
          <w:szCs w:val="32"/>
        </w:rPr>
        <w:t>000万元以下的，报行业部门（主管单位）分管委领导审核同意；</w:t>
      </w:r>
    </w:p>
    <w:p>
      <w:pPr>
        <w:spacing w:line="360" w:lineRule="auto"/>
        <w:ind w:firstLine="640" w:firstLineChars="200"/>
        <w:rPr>
          <w:rFonts w:ascii="方正仿宋_GBK" w:hAnsi="Times New Roman" w:eastAsia="方正仿宋_GBK" w:cs="Times New Roman"/>
          <w:sz w:val="32"/>
          <w:szCs w:val="32"/>
        </w:rPr>
      </w:pPr>
      <w:r>
        <w:rPr>
          <w:rFonts w:hint="eastAsia" w:ascii="方正仿宋_GBK" w:hAnsi="Times New Roman" w:eastAsia="方正仿宋_GBK" w:cs="Times New Roman"/>
          <w:sz w:val="32"/>
          <w:szCs w:val="32"/>
        </w:rPr>
        <w:t>2、调整绝对金额在1</w:t>
      </w:r>
      <w:r>
        <w:rPr>
          <w:rFonts w:ascii="方正仿宋_GBK" w:hAnsi="Times New Roman" w:eastAsia="方正仿宋_GBK" w:cs="Times New Roman"/>
          <w:sz w:val="32"/>
          <w:szCs w:val="32"/>
        </w:rPr>
        <w:t>000</w:t>
      </w:r>
      <w:r>
        <w:rPr>
          <w:rFonts w:hint="eastAsia" w:ascii="方正仿宋_GBK" w:hAnsi="Times New Roman" w:eastAsia="方正仿宋_GBK" w:cs="Times New Roman"/>
          <w:sz w:val="32"/>
          <w:szCs w:val="32"/>
        </w:rPr>
        <w:t>~</w:t>
      </w:r>
      <w:r>
        <w:rPr>
          <w:rFonts w:ascii="方正仿宋_GBK" w:hAnsi="Times New Roman" w:eastAsia="方正仿宋_GBK" w:cs="Times New Roman"/>
          <w:sz w:val="32"/>
          <w:szCs w:val="32"/>
        </w:rPr>
        <w:t>3</w:t>
      </w:r>
      <w:r>
        <w:rPr>
          <w:rFonts w:hint="eastAsia" w:ascii="方正仿宋_GBK" w:hAnsi="Times New Roman" w:eastAsia="方正仿宋_GBK" w:cs="Times New Roman"/>
          <w:sz w:val="32"/>
          <w:szCs w:val="32"/>
        </w:rPr>
        <w:t>000万元以内（含</w:t>
      </w:r>
      <w:r>
        <w:rPr>
          <w:rFonts w:ascii="方正仿宋_GBK" w:hAnsi="Times New Roman" w:eastAsia="方正仿宋_GBK" w:cs="Times New Roman"/>
          <w:sz w:val="32"/>
          <w:szCs w:val="32"/>
        </w:rPr>
        <w:t>1</w:t>
      </w:r>
      <w:r>
        <w:rPr>
          <w:rFonts w:hint="eastAsia" w:ascii="方正仿宋_GBK" w:hAnsi="Times New Roman" w:eastAsia="方正仿宋_GBK" w:cs="Times New Roman"/>
          <w:sz w:val="32"/>
          <w:szCs w:val="32"/>
        </w:rPr>
        <w:t>000万元）的，报行业部门（主管单位）分管委领导、发展改革部门分管</w:t>
      </w:r>
      <w:bookmarkStart w:id="17" w:name="_Hlk25912975"/>
      <w:r>
        <w:rPr>
          <w:rFonts w:hint="eastAsia" w:ascii="方正仿宋_GBK" w:hAnsi="Times New Roman" w:eastAsia="方正仿宋_GBK" w:cs="Times New Roman"/>
          <w:sz w:val="32"/>
          <w:szCs w:val="32"/>
        </w:rPr>
        <w:t>委领导</w:t>
      </w:r>
      <w:bookmarkEnd w:id="17"/>
      <w:r>
        <w:rPr>
          <w:rFonts w:hint="eastAsia" w:ascii="方正仿宋_GBK" w:hAnsi="Times New Roman" w:eastAsia="方正仿宋_GBK" w:cs="Times New Roman"/>
          <w:sz w:val="32"/>
          <w:szCs w:val="32"/>
        </w:rPr>
        <w:t>审核同意；</w:t>
      </w:r>
    </w:p>
    <w:p>
      <w:pPr>
        <w:spacing w:line="360" w:lineRule="auto"/>
        <w:ind w:firstLine="640" w:firstLineChars="200"/>
        <w:rPr>
          <w:rFonts w:ascii="方正仿宋_GBK" w:hAnsi="Times New Roman" w:eastAsia="方正仿宋_GBK" w:cs="Times New Roman"/>
          <w:sz w:val="32"/>
          <w:szCs w:val="32"/>
        </w:rPr>
      </w:pPr>
      <w:r>
        <w:rPr>
          <w:rFonts w:ascii="方正仿宋_GBK" w:hAnsi="Times New Roman" w:eastAsia="方正仿宋_GBK" w:cs="Times New Roman"/>
          <w:sz w:val="32"/>
          <w:szCs w:val="32"/>
        </w:rPr>
        <w:t>3</w:t>
      </w:r>
      <w:r>
        <w:rPr>
          <w:rFonts w:hint="eastAsia" w:ascii="方正仿宋_GBK" w:hAnsi="Times New Roman" w:eastAsia="方正仿宋_GBK" w:cs="Times New Roman"/>
          <w:sz w:val="32"/>
          <w:szCs w:val="32"/>
        </w:rPr>
        <w:t>、调整绝对金额在</w:t>
      </w:r>
      <w:r>
        <w:rPr>
          <w:rFonts w:ascii="方正仿宋_GBK" w:hAnsi="Times New Roman" w:eastAsia="方正仿宋_GBK" w:cs="Times New Roman"/>
          <w:sz w:val="32"/>
          <w:szCs w:val="32"/>
        </w:rPr>
        <w:t>3000</w:t>
      </w:r>
      <w:r>
        <w:rPr>
          <w:rFonts w:hint="eastAsia" w:ascii="方正仿宋_GBK" w:hAnsi="Times New Roman" w:eastAsia="方正仿宋_GBK" w:cs="Times New Roman"/>
          <w:sz w:val="32"/>
          <w:szCs w:val="32"/>
        </w:rPr>
        <w:t>~</w:t>
      </w:r>
      <w:r>
        <w:rPr>
          <w:rFonts w:ascii="方正仿宋_GBK" w:hAnsi="Times New Roman" w:eastAsia="方正仿宋_GBK" w:cs="Times New Roman"/>
          <w:sz w:val="32"/>
          <w:szCs w:val="32"/>
        </w:rPr>
        <w:t>5</w:t>
      </w:r>
      <w:r>
        <w:rPr>
          <w:rFonts w:hint="eastAsia" w:ascii="方正仿宋_GBK" w:hAnsi="Times New Roman" w:eastAsia="方正仿宋_GBK" w:cs="Times New Roman"/>
          <w:sz w:val="32"/>
          <w:szCs w:val="32"/>
        </w:rPr>
        <w:t>000万元以内（含</w:t>
      </w:r>
      <w:r>
        <w:rPr>
          <w:rFonts w:ascii="方正仿宋_GBK" w:hAnsi="Times New Roman" w:eastAsia="方正仿宋_GBK" w:cs="Times New Roman"/>
          <w:sz w:val="32"/>
          <w:szCs w:val="32"/>
        </w:rPr>
        <w:t>3</w:t>
      </w:r>
      <w:r>
        <w:rPr>
          <w:rFonts w:hint="eastAsia" w:ascii="方正仿宋_GBK" w:hAnsi="Times New Roman" w:eastAsia="方正仿宋_GBK" w:cs="Times New Roman"/>
          <w:sz w:val="32"/>
          <w:szCs w:val="32"/>
        </w:rPr>
        <w:t>000万元）的，报行业部门（主管单位）分管委领导、发展改革部门分管委领导和财政部门分管委领导审核同意；</w:t>
      </w:r>
    </w:p>
    <w:p>
      <w:pPr>
        <w:spacing w:line="360" w:lineRule="auto"/>
        <w:ind w:firstLine="640" w:firstLineChars="200"/>
        <w:rPr>
          <w:rFonts w:ascii="方正仿宋_GBK" w:hAnsi="Times New Roman" w:eastAsia="方正仿宋_GBK" w:cs="Times New Roman"/>
          <w:sz w:val="32"/>
          <w:szCs w:val="32"/>
        </w:rPr>
      </w:pPr>
      <w:r>
        <w:rPr>
          <w:rFonts w:hint="eastAsia" w:ascii="方正仿宋_GBK" w:hAnsi="Times New Roman" w:eastAsia="方正仿宋_GBK" w:cs="Times New Roman"/>
          <w:sz w:val="32"/>
          <w:szCs w:val="32"/>
        </w:rPr>
        <w:t>4、调整绝对金额在</w:t>
      </w:r>
      <w:r>
        <w:rPr>
          <w:rFonts w:ascii="方正仿宋_GBK" w:hAnsi="Times New Roman" w:eastAsia="方正仿宋_GBK" w:cs="Times New Roman"/>
          <w:sz w:val="32"/>
          <w:szCs w:val="32"/>
        </w:rPr>
        <w:t>5</w:t>
      </w:r>
      <w:r>
        <w:rPr>
          <w:rFonts w:hint="eastAsia" w:ascii="方正仿宋_GBK" w:hAnsi="Times New Roman" w:eastAsia="方正仿宋_GBK" w:cs="Times New Roman"/>
          <w:sz w:val="32"/>
          <w:szCs w:val="32"/>
        </w:rPr>
        <w:t>000万元及以上的，报管委会办公会审核同意。</w:t>
      </w:r>
    </w:p>
    <w:p>
      <w:pPr>
        <w:spacing w:line="360" w:lineRule="auto"/>
        <w:ind w:firstLine="640" w:firstLineChars="200"/>
        <w:rPr>
          <w:rFonts w:ascii="方正仿宋_GBK" w:hAnsi="Times New Roman" w:eastAsia="方正仿宋_GBK" w:cs="Times New Roman"/>
          <w:sz w:val="32"/>
          <w:szCs w:val="32"/>
        </w:rPr>
      </w:pPr>
      <w:r>
        <w:rPr>
          <w:rFonts w:hint="eastAsia" w:ascii="方正仿宋_GBK" w:hAnsi="Times New Roman" w:eastAsia="方正仿宋_GBK" w:cs="Times New Roman"/>
          <w:sz w:val="32"/>
          <w:szCs w:val="32"/>
        </w:rPr>
        <w:t>（二）调整幅度大于原批复概算总投资10%（含10%）的，一律报管委会办公会审核同意。</w:t>
      </w:r>
    </w:p>
    <w:p>
      <w:pPr>
        <w:pStyle w:val="3"/>
        <w:keepNext w:val="0"/>
        <w:keepLines w:val="0"/>
        <w:numPr>
          <w:ilvl w:val="0"/>
          <w:numId w:val="1"/>
        </w:numPr>
        <w:spacing w:before="156" w:beforeLines="50" w:after="0" w:line="360" w:lineRule="auto"/>
        <w:ind w:left="0" w:firstLine="707" w:firstLineChars="221"/>
        <w:rPr>
          <w:rFonts w:ascii="方正仿宋_GBK" w:hAnsi="Times New Roman" w:eastAsia="方正仿宋_GBK" w:cs="Times New Roman"/>
          <w:b w:val="0"/>
          <w:bCs w:val="0"/>
        </w:rPr>
      </w:pPr>
      <w:r>
        <w:rPr>
          <w:rFonts w:hint="eastAsia" w:ascii="方正仿宋_GBK" w:hAnsi="Times New Roman" w:eastAsia="方正仿宋_GBK" w:cs="Times New Roman"/>
          <w:b w:val="0"/>
          <w:bCs w:val="0"/>
        </w:rPr>
        <w:t>政府投资项目应当按照国家有关规定合理确定并严格执行建设工期，任何单位和个人不得非法干预。</w:t>
      </w:r>
    </w:p>
    <w:p>
      <w:pPr>
        <w:spacing w:line="360" w:lineRule="auto"/>
        <w:ind w:firstLine="640" w:firstLineChars="200"/>
        <w:rPr>
          <w:rFonts w:ascii="方正仿宋_GBK" w:hAnsi="Times New Roman" w:eastAsia="方正仿宋_GBK" w:cs="Times New Roman"/>
          <w:sz w:val="32"/>
          <w:szCs w:val="32"/>
        </w:rPr>
      </w:pPr>
      <w:r>
        <w:rPr>
          <w:rFonts w:hint="eastAsia" w:ascii="方正仿宋_GBK" w:hAnsi="Times New Roman" w:eastAsia="方正仿宋_GBK" w:cs="Times New Roman"/>
          <w:sz w:val="32"/>
          <w:szCs w:val="32"/>
        </w:rPr>
        <w:t>项目单位应在施工或总承包合同中提出工期控制目标要求，明确工期延误的赔偿机制。</w:t>
      </w:r>
    </w:p>
    <w:p>
      <w:pPr>
        <w:pStyle w:val="3"/>
        <w:keepNext w:val="0"/>
        <w:keepLines w:val="0"/>
        <w:numPr>
          <w:ilvl w:val="0"/>
          <w:numId w:val="1"/>
        </w:numPr>
        <w:spacing w:before="156" w:beforeLines="50" w:after="0" w:line="360" w:lineRule="auto"/>
        <w:ind w:left="0" w:firstLine="707" w:firstLineChars="221"/>
        <w:rPr>
          <w:rFonts w:ascii="方正仿宋_GBK" w:hAnsi="Times New Roman" w:eastAsia="方正仿宋_GBK" w:cs="Times New Roman"/>
          <w:b w:val="0"/>
          <w:bCs w:val="0"/>
        </w:rPr>
      </w:pPr>
      <w:r>
        <w:rPr>
          <w:rFonts w:hint="eastAsia" w:ascii="方正仿宋_GBK" w:hAnsi="Times New Roman" w:eastAsia="方正仿宋_GBK" w:cs="Times New Roman"/>
          <w:b w:val="0"/>
          <w:bCs w:val="0"/>
        </w:rPr>
        <w:t>政府投资项目建成后，应当按照国家及重庆市相关规定进行竣工验收。未经竣工验收或者验收不合格的，不得交付使用，使用单位不得接收。</w:t>
      </w:r>
    </w:p>
    <w:p>
      <w:pPr>
        <w:pStyle w:val="3"/>
        <w:keepNext w:val="0"/>
        <w:keepLines w:val="0"/>
        <w:numPr>
          <w:ilvl w:val="0"/>
          <w:numId w:val="1"/>
        </w:numPr>
        <w:spacing w:before="156" w:beforeLines="50" w:after="0" w:line="360" w:lineRule="auto"/>
        <w:ind w:left="0" w:firstLine="707" w:firstLineChars="221"/>
        <w:rPr>
          <w:rFonts w:ascii="方正仿宋_GBK" w:hAnsi="Times New Roman" w:eastAsia="方正仿宋_GBK" w:cs="Times New Roman"/>
          <w:b w:val="0"/>
          <w:bCs w:val="0"/>
        </w:rPr>
      </w:pPr>
      <w:r>
        <w:rPr>
          <w:rFonts w:hint="eastAsia" w:ascii="方正仿宋_GBK" w:hAnsi="Times New Roman" w:eastAsia="方正仿宋_GBK" w:cs="Times New Roman"/>
          <w:b w:val="0"/>
          <w:bCs w:val="0"/>
        </w:rPr>
        <w:t>对竣工验收通过的项目，项目单位应当在</w:t>
      </w:r>
      <w:r>
        <w:rPr>
          <w:rFonts w:ascii="方正仿宋_GBK" w:hAnsi="Times New Roman" w:eastAsia="方正仿宋_GBK" w:cs="Times New Roman"/>
          <w:b w:val="0"/>
          <w:bCs w:val="0"/>
        </w:rPr>
        <w:t>3个月内编报竣工财务决算</w:t>
      </w:r>
      <w:r>
        <w:rPr>
          <w:rFonts w:hint="eastAsia" w:ascii="方正仿宋_GBK" w:hAnsi="Times New Roman" w:eastAsia="方正仿宋_GBK" w:cs="Times New Roman"/>
          <w:b w:val="0"/>
          <w:bCs w:val="0"/>
        </w:rPr>
        <w:t>。</w:t>
      </w:r>
      <w:r>
        <w:rPr>
          <w:rFonts w:ascii="方正仿宋_GBK" w:hAnsi="Times New Roman" w:eastAsia="方正仿宋_GBK" w:cs="Times New Roman"/>
          <w:b w:val="0"/>
          <w:bCs w:val="0"/>
        </w:rPr>
        <w:t>特殊情况确需延长的，中小型项目不得超过2个月，大型项目不得超过6个月。竣工财务决算办理</w:t>
      </w:r>
      <w:r>
        <w:rPr>
          <w:rFonts w:hint="eastAsia" w:ascii="方正仿宋_GBK" w:hAnsi="Times New Roman" w:eastAsia="方正仿宋_GBK" w:cs="Times New Roman"/>
          <w:b w:val="0"/>
          <w:bCs w:val="0"/>
        </w:rPr>
        <w:t>程序按照国家、重庆市及两江新区相关文件执行。</w:t>
      </w:r>
    </w:p>
    <w:p>
      <w:pPr>
        <w:spacing w:line="360" w:lineRule="auto"/>
        <w:ind w:firstLine="640" w:firstLineChars="200"/>
        <w:rPr>
          <w:rFonts w:ascii="方正仿宋_GBK" w:hAnsi="Times New Roman" w:eastAsia="方正仿宋_GBK" w:cs="Times New Roman"/>
          <w:strike/>
          <w:sz w:val="32"/>
          <w:szCs w:val="32"/>
        </w:rPr>
      </w:pPr>
      <w:r>
        <w:rPr>
          <w:rFonts w:hint="eastAsia" w:ascii="方正仿宋_GBK" w:hAnsi="Times New Roman" w:eastAsia="方正仿宋_GBK" w:cs="Times New Roman"/>
          <w:sz w:val="32"/>
          <w:szCs w:val="32"/>
        </w:rPr>
        <w:t>政府投资项目结余的财政资金，应当按照国家有关规定缴回国库。</w:t>
      </w:r>
    </w:p>
    <w:p>
      <w:pPr>
        <w:pStyle w:val="3"/>
        <w:keepNext w:val="0"/>
        <w:keepLines w:val="0"/>
        <w:numPr>
          <w:ilvl w:val="0"/>
          <w:numId w:val="1"/>
        </w:numPr>
        <w:spacing w:before="156" w:beforeLines="50" w:after="0" w:line="360" w:lineRule="auto"/>
        <w:ind w:left="0" w:firstLine="707" w:firstLineChars="221"/>
        <w:rPr>
          <w:rFonts w:ascii="方正仿宋_GBK" w:hAnsi="Times New Roman" w:eastAsia="方正仿宋_GBK" w:cs="Times New Roman"/>
          <w:b w:val="0"/>
          <w:bCs w:val="0"/>
        </w:rPr>
      </w:pPr>
      <w:r>
        <w:rPr>
          <w:rFonts w:hint="eastAsia" w:ascii="方正仿宋_GBK" w:hAnsi="Times New Roman" w:eastAsia="方正仿宋_GBK" w:cs="Times New Roman"/>
          <w:b w:val="0"/>
          <w:bCs w:val="0"/>
        </w:rPr>
        <w:t>政府投资项目应当依法办理权属登记的，项目单位应当在收到项目竣工财务</w:t>
      </w:r>
      <w:bookmarkStart w:id="18" w:name="_Hlk62492901"/>
      <w:r>
        <w:rPr>
          <w:rFonts w:hint="eastAsia" w:ascii="方正仿宋_GBK" w:hAnsi="Times New Roman" w:eastAsia="方正仿宋_GBK" w:cs="Times New Roman"/>
          <w:b w:val="0"/>
          <w:bCs w:val="0"/>
        </w:rPr>
        <w:t>决算审核批复</w:t>
      </w:r>
      <w:bookmarkEnd w:id="18"/>
      <w:r>
        <w:rPr>
          <w:rFonts w:hint="eastAsia" w:ascii="方正仿宋_GBK" w:hAnsi="Times New Roman" w:eastAsia="方正仿宋_GBK" w:cs="Times New Roman"/>
          <w:b w:val="0"/>
          <w:bCs w:val="0"/>
        </w:rPr>
        <w:t>后，按照国家有关规定向相关不动产登记机构申请办理。</w:t>
      </w:r>
    </w:p>
    <w:p>
      <w:pPr>
        <w:spacing w:line="360" w:lineRule="auto"/>
        <w:ind w:firstLine="640" w:firstLineChars="200"/>
        <w:rPr>
          <w:rFonts w:ascii="方正仿宋_GBK" w:hAnsi="Times New Roman" w:eastAsia="方正仿宋_GBK" w:cs="Times New Roman"/>
          <w:sz w:val="32"/>
          <w:szCs w:val="32"/>
        </w:rPr>
      </w:pPr>
      <w:r>
        <w:rPr>
          <w:rFonts w:hint="eastAsia" w:ascii="方正仿宋_GBK" w:hAnsi="Times New Roman" w:eastAsia="方正仿宋_GBK" w:cs="Times New Roman"/>
          <w:sz w:val="32"/>
          <w:szCs w:val="32"/>
        </w:rPr>
        <w:t>项目单位应依据批复的项目竣工财务决算，</w:t>
      </w:r>
      <w:r>
        <w:rPr>
          <w:rFonts w:ascii="方正仿宋_GBK" w:hAnsi="Times New Roman" w:eastAsia="方正仿宋_GBK" w:cs="Times New Roman"/>
          <w:sz w:val="32"/>
          <w:szCs w:val="32"/>
        </w:rPr>
        <w:t>按照</w:t>
      </w:r>
      <w:r>
        <w:rPr>
          <w:rFonts w:hint="eastAsia" w:ascii="方正仿宋_GBK" w:hAnsi="Times New Roman" w:eastAsia="方正仿宋_GBK" w:cs="Times New Roman"/>
          <w:sz w:val="32"/>
          <w:szCs w:val="32"/>
        </w:rPr>
        <w:t>政府会计准则或企业会计制度进行转固及资产账务调整处理。</w:t>
      </w:r>
    </w:p>
    <w:p>
      <w:pPr>
        <w:spacing w:line="360" w:lineRule="auto"/>
        <w:ind w:firstLine="640" w:firstLineChars="200"/>
        <w:rPr>
          <w:rFonts w:ascii="方正仿宋_GBK" w:hAnsi="Times New Roman" w:eastAsia="方正仿宋_GBK" w:cs="Times New Roman"/>
          <w:sz w:val="32"/>
          <w:szCs w:val="32"/>
        </w:rPr>
      </w:pPr>
      <w:r>
        <w:rPr>
          <w:rFonts w:hint="eastAsia" w:ascii="方正仿宋_GBK" w:hAnsi="Times New Roman" w:eastAsia="方正仿宋_GBK" w:cs="Times New Roman"/>
          <w:sz w:val="32"/>
          <w:szCs w:val="32"/>
        </w:rPr>
        <w:t>实施代建制的项目，建设管理代理机构应当在竣工验收合格后3个月内，将资产使用权移交至使用单位。使用单位不得拒绝接管，接管后立即对项目设施进行管护，避免建管脱节。</w:t>
      </w:r>
    </w:p>
    <w:p>
      <w:pPr>
        <w:pStyle w:val="3"/>
        <w:keepNext w:val="0"/>
        <w:keepLines w:val="0"/>
        <w:numPr>
          <w:ilvl w:val="0"/>
          <w:numId w:val="1"/>
        </w:numPr>
        <w:spacing w:before="156" w:beforeLines="50" w:after="0" w:line="360" w:lineRule="auto"/>
        <w:ind w:left="0" w:firstLine="707" w:firstLineChars="221"/>
        <w:rPr>
          <w:rFonts w:ascii="方正仿宋_GBK" w:hAnsi="Times New Roman" w:eastAsia="方正仿宋_GBK" w:cs="Times New Roman"/>
          <w:b w:val="0"/>
          <w:bCs w:val="0"/>
        </w:rPr>
      </w:pPr>
      <w:r>
        <w:rPr>
          <w:rFonts w:hint="eastAsia" w:ascii="方正仿宋_GBK" w:hAnsi="Times New Roman" w:eastAsia="方正仿宋_GBK" w:cs="Times New Roman"/>
          <w:b w:val="0"/>
          <w:bCs w:val="0"/>
        </w:rPr>
        <w:t>发展改革部门会同行业部门（主管单位），按照国家及重庆市有关规定，选择有代表性的已建成政府投资项目，委托中介服务机构对所选项目进行后评价。</w:t>
      </w:r>
    </w:p>
    <w:p>
      <w:pPr>
        <w:spacing w:line="360" w:lineRule="auto"/>
        <w:ind w:firstLine="640" w:firstLineChars="200"/>
        <w:rPr>
          <w:rFonts w:ascii="方正仿宋_GBK" w:hAnsi="Times New Roman" w:eastAsia="方正仿宋_GBK" w:cs="Times New Roman"/>
          <w:sz w:val="32"/>
          <w:szCs w:val="32"/>
        </w:rPr>
      </w:pPr>
      <w:r>
        <w:rPr>
          <w:rFonts w:hint="eastAsia" w:ascii="方正仿宋_GBK" w:hAnsi="Times New Roman" w:eastAsia="方正仿宋_GBK" w:cs="Times New Roman"/>
          <w:sz w:val="32"/>
          <w:szCs w:val="32"/>
        </w:rPr>
        <w:t>后评价应当根据项目建成后的实际效果，对项目审批和实施进行全面评价并提出明确意见。</w:t>
      </w:r>
    </w:p>
    <w:p>
      <w:pPr>
        <w:pStyle w:val="2"/>
        <w:keepNext w:val="0"/>
        <w:keepLines w:val="0"/>
        <w:spacing w:before="312" w:beforeLines="100" w:after="156" w:afterLines="50" w:line="360" w:lineRule="auto"/>
        <w:jc w:val="center"/>
        <w:rPr>
          <w:rFonts w:ascii="方正小标宋_GBK" w:hAnsi="Times New Roman" w:eastAsia="方正小标宋_GBK" w:cs="Times New Roman"/>
          <w:b w:val="0"/>
          <w:bCs w:val="0"/>
          <w:sz w:val="32"/>
          <w:szCs w:val="32"/>
        </w:rPr>
      </w:pPr>
      <w:r>
        <w:rPr>
          <w:rFonts w:hint="eastAsia" w:ascii="方正小标宋_GBK" w:hAnsi="Times New Roman" w:eastAsia="方正小标宋_GBK" w:cs="Times New Roman"/>
          <w:b w:val="0"/>
          <w:bCs w:val="0"/>
          <w:sz w:val="32"/>
          <w:szCs w:val="32"/>
        </w:rPr>
        <w:t>第五章 监督管理</w:t>
      </w:r>
    </w:p>
    <w:p>
      <w:pPr>
        <w:pStyle w:val="3"/>
        <w:keepNext w:val="0"/>
        <w:keepLines w:val="0"/>
        <w:numPr>
          <w:ilvl w:val="0"/>
          <w:numId w:val="1"/>
        </w:numPr>
        <w:spacing w:before="156" w:beforeLines="50" w:after="0" w:line="360" w:lineRule="auto"/>
        <w:ind w:left="0" w:firstLine="707" w:firstLineChars="221"/>
        <w:rPr>
          <w:rFonts w:ascii="方正仿宋_GBK" w:hAnsi="Times New Roman" w:eastAsia="方正仿宋_GBK" w:cs="Times New Roman"/>
          <w:b w:val="0"/>
          <w:bCs w:val="0"/>
        </w:rPr>
      </w:pPr>
      <w:r>
        <w:rPr>
          <w:rFonts w:hint="eastAsia" w:ascii="方正仿宋_GBK" w:hAnsi="Times New Roman" w:eastAsia="方正仿宋_GBK" w:cs="Times New Roman"/>
          <w:b w:val="0"/>
          <w:bCs w:val="0"/>
        </w:rPr>
        <w:t>发展改革部门会同行业部门（主管单位）采取在线监测、现场核查等方式，对政府投资项目实施情况的监督检查。</w:t>
      </w:r>
    </w:p>
    <w:p>
      <w:pPr>
        <w:pStyle w:val="3"/>
        <w:keepNext w:val="0"/>
        <w:keepLines w:val="0"/>
        <w:numPr>
          <w:ilvl w:val="0"/>
          <w:numId w:val="1"/>
        </w:numPr>
        <w:spacing w:before="156" w:beforeLines="50" w:after="0" w:line="360" w:lineRule="auto"/>
        <w:ind w:left="0" w:firstLine="707" w:firstLineChars="221"/>
        <w:rPr>
          <w:rFonts w:ascii="方正仿宋_GBK" w:hAnsi="Times New Roman" w:eastAsia="方正仿宋_GBK" w:cs="Times New Roman"/>
          <w:b w:val="0"/>
          <w:bCs w:val="0"/>
        </w:rPr>
      </w:pPr>
      <w:r>
        <w:rPr>
          <w:rFonts w:hint="eastAsia" w:ascii="方正仿宋_GBK" w:hAnsi="Times New Roman" w:eastAsia="方正仿宋_GBK" w:cs="Times New Roman"/>
          <w:b w:val="0"/>
          <w:bCs w:val="0"/>
        </w:rPr>
        <w:t>财政部门根据政府投资年度计划做好资金保障工作，依法对政府投资资金使用和财务状况进行监督检查。</w:t>
      </w:r>
    </w:p>
    <w:p>
      <w:pPr>
        <w:spacing w:line="360" w:lineRule="auto"/>
        <w:ind w:firstLine="640" w:firstLineChars="200"/>
        <w:rPr>
          <w:rFonts w:ascii="方正仿宋_GBK" w:hAnsi="Times New Roman" w:eastAsia="方正仿宋_GBK" w:cs="Times New Roman"/>
          <w:sz w:val="32"/>
          <w:szCs w:val="32"/>
        </w:rPr>
      </w:pPr>
      <w:r>
        <w:rPr>
          <w:rFonts w:hint="eastAsia" w:ascii="方正仿宋_GBK" w:hAnsi="Times New Roman" w:eastAsia="方正仿宋_GBK" w:cs="Times New Roman"/>
          <w:sz w:val="32"/>
          <w:szCs w:val="32"/>
        </w:rPr>
        <w:t>政府投资项目审计监督依照重庆市及两江新区相关审计监督管理办法执行。</w:t>
      </w:r>
    </w:p>
    <w:p>
      <w:pPr>
        <w:pStyle w:val="3"/>
        <w:keepNext w:val="0"/>
        <w:keepLines w:val="0"/>
        <w:numPr>
          <w:ilvl w:val="0"/>
          <w:numId w:val="1"/>
        </w:numPr>
        <w:spacing w:before="156" w:beforeLines="50" w:after="0" w:line="360" w:lineRule="auto"/>
        <w:ind w:left="0" w:firstLine="707" w:firstLineChars="221"/>
        <w:rPr>
          <w:rFonts w:ascii="方正仿宋_GBK" w:hAnsi="Times New Roman" w:eastAsia="方正仿宋_GBK" w:cs="Times New Roman"/>
          <w:b w:val="0"/>
          <w:bCs w:val="0"/>
        </w:rPr>
      </w:pPr>
      <w:r>
        <w:rPr>
          <w:rFonts w:hint="eastAsia" w:ascii="方正仿宋_GBK" w:hAnsi="Times New Roman" w:eastAsia="方正仿宋_GBK" w:cs="Times New Roman"/>
          <w:b w:val="0"/>
          <w:bCs w:val="0"/>
        </w:rPr>
        <w:t>发展改革部门和行业部门（主管单位）应当建立政府投资项目信息共享机制，通过两江新区投资项目管理系统实现信息共享。</w:t>
      </w:r>
    </w:p>
    <w:p>
      <w:pPr>
        <w:pStyle w:val="3"/>
        <w:keepNext w:val="0"/>
        <w:keepLines w:val="0"/>
        <w:numPr>
          <w:ilvl w:val="0"/>
          <w:numId w:val="1"/>
        </w:numPr>
        <w:spacing w:before="156" w:beforeLines="50" w:after="0" w:line="360" w:lineRule="auto"/>
        <w:ind w:left="0" w:firstLine="707" w:firstLineChars="221"/>
        <w:rPr>
          <w:rFonts w:ascii="方正仿宋_GBK" w:hAnsi="Times New Roman" w:eastAsia="方正仿宋_GBK" w:cs="Times New Roman"/>
          <w:b w:val="0"/>
          <w:bCs w:val="0"/>
        </w:rPr>
      </w:pPr>
      <w:r>
        <w:rPr>
          <w:rFonts w:hint="eastAsia" w:ascii="方正仿宋_GBK" w:hAnsi="Times New Roman" w:eastAsia="方正仿宋_GBK" w:cs="Times New Roman"/>
          <w:b w:val="0"/>
          <w:bCs w:val="0"/>
        </w:rPr>
        <w:t>项目单位应当遵守下列规定：</w:t>
      </w:r>
    </w:p>
    <w:p>
      <w:pPr>
        <w:spacing w:line="360" w:lineRule="auto"/>
        <w:ind w:firstLine="640" w:firstLineChars="200"/>
        <w:rPr>
          <w:rFonts w:ascii="方正仿宋_GBK" w:hAnsi="Times New Roman" w:eastAsia="方正仿宋_GBK" w:cs="Times New Roman"/>
          <w:sz w:val="32"/>
          <w:szCs w:val="32"/>
        </w:rPr>
      </w:pPr>
      <w:r>
        <w:rPr>
          <w:rFonts w:hint="eastAsia" w:ascii="方正仿宋_GBK" w:hAnsi="Times New Roman" w:eastAsia="方正仿宋_GBK" w:cs="Times New Roman"/>
          <w:sz w:val="32"/>
          <w:szCs w:val="32"/>
        </w:rPr>
        <w:t>（一）通过投资项目基础数据库及两江新区投资项目管理系统如实报送政府投资项目开工建设、建设进度及竣工的基本信息，及时报告项目实施中出现的重大问题；</w:t>
      </w:r>
    </w:p>
    <w:p>
      <w:pPr>
        <w:spacing w:line="360" w:lineRule="auto"/>
        <w:ind w:firstLine="640" w:firstLineChars="200"/>
        <w:rPr>
          <w:rFonts w:ascii="方正仿宋_GBK" w:hAnsi="Times New Roman" w:eastAsia="方正仿宋_GBK" w:cs="Times New Roman"/>
          <w:sz w:val="32"/>
          <w:szCs w:val="32"/>
        </w:rPr>
      </w:pPr>
      <w:r>
        <w:rPr>
          <w:rFonts w:hint="eastAsia" w:ascii="方正仿宋_GBK" w:hAnsi="Times New Roman" w:eastAsia="方正仿宋_GBK" w:cs="Times New Roman"/>
          <w:sz w:val="32"/>
          <w:szCs w:val="32"/>
        </w:rPr>
        <w:t>（二）</w:t>
      </w:r>
      <w:r>
        <w:rPr>
          <w:rFonts w:ascii="方正仿宋_GBK" w:hAnsi="Times New Roman" w:eastAsia="方正仿宋_GBK" w:cs="Times New Roman"/>
          <w:sz w:val="32"/>
          <w:szCs w:val="32"/>
        </w:rPr>
        <w:t>按照国家有关规定加强政府投资项目档案管理，将项目审批和实施过程中的有关文件、资料存档备查</w:t>
      </w:r>
      <w:r>
        <w:rPr>
          <w:rFonts w:hint="eastAsia" w:ascii="方正仿宋_GBK" w:hAnsi="Times New Roman" w:eastAsia="方正仿宋_GBK" w:cs="Times New Roman"/>
          <w:sz w:val="32"/>
          <w:szCs w:val="32"/>
        </w:rPr>
        <w:t>；</w:t>
      </w:r>
    </w:p>
    <w:p>
      <w:pPr>
        <w:spacing w:line="360" w:lineRule="auto"/>
        <w:ind w:firstLine="640" w:firstLineChars="200"/>
        <w:rPr>
          <w:rFonts w:ascii="方正仿宋_GBK" w:hAnsi="Times New Roman" w:eastAsia="方正仿宋_GBK" w:cs="Times New Roman"/>
          <w:sz w:val="32"/>
          <w:szCs w:val="32"/>
        </w:rPr>
      </w:pPr>
      <w:r>
        <w:rPr>
          <w:rFonts w:hint="eastAsia" w:ascii="方正仿宋_GBK" w:hAnsi="Times New Roman" w:eastAsia="方正仿宋_GBK" w:cs="Times New Roman"/>
          <w:sz w:val="32"/>
          <w:szCs w:val="32"/>
        </w:rPr>
        <w:t>（三）严格落实主体责任，主动</w:t>
      </w:r>
      <w:r>
        <w:rPr>
          <w:rFonts w:ascii="方正仿宋_GBK" w:hAnsi="Times New Roman" w:eastAsia="方正仿宋_GBK" w:cs="Times New Roman"/>
          <w:sz w:val="32"/>
          <w:szCs w:val="32"/>
        </w:rPr>
        <w:t>配合发展改革部门、财政部门、行业部门、</w:t>
      </w:r>
      <w:r>
        <w:rPr>
          <w:rFonts w:hint="eastAsia" w:ascii="方正仿宋_GBK" w:hAnsi="Times New Roman" w:eastAsia="方正仿宋_GBK" w:cs="Times New Roman"/>
          <w:sz w:val="32"/>
          <w:szCs w:val="32"/>
        </w:rPr>
        <w:t>评审中心、</w:t>
      </w:r>
      <w:r>
        <w:rPr>
          <w:rFonts w:ascii="方正仿宋_GBK" w:hAnsi="Times New Roman" w:eastAsia="方正仿宋_GBK" w:cs="Times New Roman"/>
          <w:sz w:val="32"/>
          <w:szCs w:val="32"/>
        </w:rPr>
        <w:t>审计机关</w:t>
      </w:r>
      <w:r>
        <w:rPr>
          <w:rFonts w:hint="eastAsia" w:ascii="方正仿宋_GBK" w:hAnsi="Times New Roman" w:eastAsia="方正仿宋_GBK" w:cs="Times New Roman"/>
          <w:sz w:val="32"/>
          <w:szCs w:val="32"/>
        </w:rPr>
        <w:t>进行审计、督查、评估督导等工作。</w:t>
      </w:r>
    </w:p>
    <w:p>
      <w:pPr>
        <w:pStyle w:val="3"/>
        <w:keepNext w:val="0"/>
        <w:keepLines w:val="0"/>
        <w:numPr>
          <w:ilvl w:val="0"/>
          <w:numId w:val="1"/>
        </w:numPr>
        <w:spacing w:before="156" w:beforeLines="50" w:after="0" w:line="360" w:lineRule="auto"/>
        <w:ind w:left="0" w:firstLine="707" w:firstLineChars="221"/>
        <w:rPr>
          <w:rFonts w:ascii="方正仿宋_GBK" w:hAnsi="Times New Roman" w:eastAsia="方正仿宋_GBK" w:cs="Times New Roman"/>
          <w:b w:val="0"/>
          <w:bCs w:val="0"/>
        </w:rPr>
      </w:pPr>
      <w:r>
        <w:rPr>
          <w:rFonts w:hint="eastAsia" w:ascii="方正仿宋_GBK" w:hAnsi="Times New Roman" w:eastAsia="方正仿宋_GBK" w:cs="Times New Roman"/>
          <w:b w:val="0"/>
          <w:bCs w:val="0"/>
        </w:rPr>
        <w:t>对政府投资项目进行全过程、全覆盖的绩效管理。针对项目代建、设计、咨询、评估、监理、施工、供货等单位，制定标准化履约或绩效考核办法，实行项目绩效申报、跟踪评价和奖惩机制。</w:t>
      </w:r>
    </w:p>
    <w:p>
      <w:pPr>
        <w:pStyle w:val="3"/>
        <w:keepNext w:val="0"/>
        <w:keepLines w:val="0"/>
        <w:numPr>
          <w:ilvl w:val="0"/>
          <w:numId w:val="1"/>
        </w:numPr>
        <w:spacing w:before="156" w:beforeLines="50" w:after="0" w:line="360" w:lineRule="auto"/>
        <w:ind w:left="0" w:firstLine="707" w:firstLineChars="221"/>
        <w:rPr>
          <w:rFonts w:ascii="方正仿宋_GBK" w:hAnsi="Times New Roman" w:eastAsia="方正仿宋_GBK" w:cs="Times New Roman"/>
          <w:b w:val="0"/>
          <w:bCs w:val="0"/>
        </w:rPr>
      </w:pPr>
      <w:r>
        <w:rPr>
          <w:rFonts w:hint="eastAsia" w:ascii="方正仿宋_GBK" w:hAnsi="Times New Roman" w:eastAsia="方正仿宋_GBK" w:cs="Times New Roman"/>
          <w:b w:val="0"/>
          <w:bCs w:val="0"/>
        </w:rPr>
        <w:t>加强政府投资项目诚信管理。对参与建设的项目单位以及建设管理代理机构、咨询、评估、设计、监理、建设、供货等单位的履约或执业情况，纳入全市统一的公共信用平台管理。项目单位应当配合有关部门，收集、报送参与单位的信用信息。</w:t>
      </w:r>
    </w:p>
    <w:p>
      <w:pPr>
        <w:pStyle w:val="3"/>
        <w:keepNext w:val="0"/>
        <w:keepLines w:val="0"/>
        <w:numPr>
          <w:ilvl w:val="0"/>
          <w:numId w:val="1"/>
        </w:numPr>
        <w:spacing w:before="156" w:beforeLines="50" w:after="0" w:line="360" w:lineRule="auto"/>
        <w:ind w:left="0" w:firstLine="707" w:firstLineChars="221"/>
        <w:rPr>
          <w:rFonts w:ascii="方正仿宋_GBK" w:hAnsi="Times New Roman" w:eastAsia="方正仿宋_GBK" w:cs="Times New Roman"/>
          <w:b w:val="0"/>
          <w:bCs w:val="0"/>
        </w:rPr>
      </w:pPr>
      <w:r>
        <w:rPr>
          <w:rFonts w:hint="eastAsia" w:ascii="方正仿宋_GBK" w:hAnsi="Times New Roman" w:eastAsia="方正仿宋_GBK" w:cs="Times New Roman"/>
          <w:b w:val="0"/>
          <w:bCs w:val="0"/>
        </w:rPr>
        <w:t>项目单位应当按照《中华人民共和国档案法》有关规定落实政府投资项目档案管理。项目建设各阶段的文件、图纸、批复等资料，应严格按照档案管理相关规定收集、整理、归档。</w:t>
      </w:r>
    </w:p>
    <w:p>
      <w:pPr>
        <w:spacing w:line="360" w:lineRule="auto"/>
        <w:ind w:firstLine="640" w:firstLineChars="200"/>
        <w:rPr>
          <w:rFonts w:ascii="方正仿宋_GBK" w:hAnsi="Times New Roman" w:eastAsia="方正仿宋_GBK" w:cs="Times New Roman"/>
          <w:sz w:val="32"/>
          <w:szCs w:val="32"/>
        </w:rPr>
      </w:pPr>
      <w:r>
        <w:rPr>
          <w:rFonts w:hint="eastAsia" w:ascii="方正仿宋_GBK" w:hAnsi="Times New Roman" w:eastAsia="方正仿宋_GBK" w:cs="Times New Roman"/>
          <w:sz w:val="32"/>
          <w:szCs w:val="32"/>
        </w:rPr>
        <w:t>项目竣工验收前，项目单位应当持有关材料向建设行政主管部门提请建设工程档案专项验收。建设行政主管部门应组织建设单位、监理单位、施工单位对项目竣工档案进行验收。验收合格的，由建设行政主管部门出具《建设工程档案专项验收意见》。</w:t>
      </w:r>
    </w:p>
    <w:p>
      <w:pPr>
        <w:pStyle w:val="3"/>
        <w:keepNext w:val="0"/>
        <w:keepLines w:val="0"/>
        <w:numPr>
          <w:ilvl w:val="0"/>
          <w:numId w:val="1"/>
        </w:numPr>
        <w:spacing w:before="156" w:beforeLines="50" w:after="0" w:line="360" w:lineRule="auto"/>
        <w:ind w:left="0" w:firstLine="707" w:firstLineChars="221"/>
        <w:rPr>
          <w:rFonts w:ascii="方正仿宋_GBK" w:hAnsi="Times New Roman" w:eastAsia="方正仿宋_GBK" w:cs="Times New Roman"/>
          <w:b w:val="0"/>
          <w:bCs w:val="0"/>
        </w:rPr>
      </w:pPr>
      <w:r>
        <w:rPr>
          <w:rFonts w:hint="eastAsia" w:ascii="方正仿宋_GBK" w:hAnsi="Times New Roman" w:eastAsia="方正仿宋_GBK" w:cs="Times New Roman"/>
          <w:b w:val="0"/>
          <w:bCs w:val="0"/>
        </w:rPr>
        <w:t>政府投资项目规划、政府投资年度计划、政府投资项目审批和实施以及监督检查信息应当在重庆两江新区公众信息网等指定媒体上依法公开。</w:t>
      </w:r>
    </w:p>
    <w:p>
      <w:pPr>
        <w:pStyle w:val="3"/>
        <w:keepNext w:val="0"/>
        <w:keepLines w:val="0"/>
        <w:numPr>
          <w:ilvl w:val="0"/>
          <w:numId w:val="1"/>
        </w:numPr>
        <w:spacing w:before="156" w:beforeLines="50" w:after="0" w:line="360" w:lineRule="auto"/>
        <w:ind w:left="0" w:firstLine="707" w:firstLineChars="221"/>
        <w:rPr>
          <w:rFonts w:ascii="方正仿宋_GBK" w:hAnsi="Times New Roman" w:eastAsia="方正仿宋_GBK" w:cs="Times New Roman"/>
          <w:b w:val="0"/>
          <w:bCs w:val="0"/>
        </w:rPr>
      </w:pPr>
      <w:r>
        <w:rPr>
          <w:rFonts w:hint="eastAsia" w:ascii="方正仿宋_GBK" w:hAnsi="Times New Roman" w:eastAsia="方正仿宋_GBK" w:cs="Times New Roman"/>
          <w:b w:val="0"/>
          <w:bCs w:val="0"/>
        </w:rPr>
        <w:t>政府投资项目的建设工程质量管理、安全生产管理、生态环境保护管理等事项，依照有关法律、行政法规、国家和重庆市有关规定执行。</w:t>
      </w:r>
    </w:p>
    <w:p>
      <w:pPr>
        <w:pStyle w:val="2"/>
        <w:keepNext w:val="0"/>
        <w:keepLines w:val="0"/>
        <w:spacing w:before="312" w:beforeLines="100" w:after="156" w:afterLines="50" w:line="360" w:lineRule="auto"/>
        <w:jc w:val="center"/>
        <w:rPr>
          <w:rFonts w:ascii="方正小标宋_GBK" w:hAnsi="Times New Roman" w:eastAsia="方正小标宋_GBK" w:cs="Times New Roman"/>
          <w:b w:val="0"/>
          <w:bCs w:val="0"/>
          <w:sz w:val="32"/>
          <w:szCs w:val="32"/>
        </w:rPr>
      </w:pPr>
      <w:r>
        <w:rPr>
          <w:rFonts w:hint="eastAsia" w:ascii="方正小标宋_GBK" w:hAnsi="Times New Roman" w:eastAsia="方正小标宋_GBK" w:cs="Times New Roman"/>
          <w:b w:val="0"/>
          <w:bCs w:val="0"/>
          <w:sz w:val="32"/>
          <w:szCs w:val="32"/>
        </w:rPr>
        <w:t>第六章 法律责任</w:t>
      </w:r>
    </w:p>
    <w:p>
      <w:pPr>
        <w:pStyle w:val="3"/>
        <w:keepNext w:val="0"/>
        <w:keepLines w:val="0"/>
        <w:numPr>
          <w:ilvl w:val="0"/>
          <w:numId w:val="1"/>
        </w:numPr>
        <w:spacing w:before="156" w:beforeLines="50" w:after="0" w:line="360" w:lineRule="auto"/>
        <w:ind w:left="0" w:firstLine="707" w:firstLineChars="221"/>
        <w:rPr>
          <w:rFonts w:ascii="方正仿宋_GBK" w:hAnsi="Times New Roman" w:eastAsia="方正仿宋_GBK" w:cs="Times New Roman"/>
          <w:b w:val="0"/>
          <w:bCs w:val="0"/>
        </w:rPr>
      </w:pPr>
      <w:r>
        <w:rPr>
          <w:rFonts w:hint="eastAsia" w:ascii="方正仿宋_GBK" w:hAnsi="Times New Roman" w:eastAsia="方正仿宋_GBK" w:cs="Times New Roman"/>
          <w:b w:val="0"/>
          <w:bCs w:val="0"/>
        </w:rPr>
        <w:t>有下列情形之一的，责令改正，对负有责任的领导人员和直接责任人员依法给予处分：</w:t>
      </w:r>
    </w:p>
    <w:p>
      <w:pPr>
        <w:spacing w:line="360" w:lineRule="auto"/>
        <w:ind w:firstLine="640" w:firstLineChars="200"/>
        <w:rPr>
          <w:rFonts w:ascii="方正仿宋_GBK" w:hAnsi="Times New Roman" w:eastAsia="方正仿宋_GBK" w:cs="Times New Roman"/>
          <w:sz w:val="32"/>
          <w:szCs w:val="32"/>
        </w:rPr>
      </w:pPr>
      <w:r>
        <w:rPr>
          <w:rFonts w:hint="eastAsia" w:ascii="方正仿宋_GBK" w:hAnsi="Times New Roman" w:eastAsia="方正仿宋_GBK" w:cs="Times New Roman"/>
          <w:sz w:val="32"/>
          <w:szCs w:val="32"/>
        </w:rPr>
        <w:t>（一）超越审批权限审批政府投资项目；</w:t>
      </w:r>
    </w:p>
    <w:p>
      <w:pPr>
        <w:spacing w:line="360" w:lineRule="auto"/>
        <w:ind w:firstLine="640" w:firstLineChars="200"/>
        <w:rPr>
          <w:rFonts w:ascii="方正仿宋_GBK" w:hAnsi="Times New Roman" w:eastAsia="方正仿宋_GBK" w:cs="Times New Roman"/>
          <w:sz w:val="32"/>
          <w:szCs w:val="32"/>
        </w:rPr>
      </w:pPr>
      <w:r>
        <w:rPr>
          <w:rFonts w:hint="eastAsia" w:ascii="方正仿宋_GBK" w:hAnsi="Times New Roman" w:eastAsia="方正仿宋_GBK" w:cs="Times New Roman"/>
          <w:sz w:val="32"/>
          <w:szCs w:val="32"/>
        </w:rPr>
        <w:t>（二）对不符合规定的政府投资项目予以批准；</w:t>
      </w:r>
    </w:p>
    <w:p>
      <w:pPr>
        <w:spacing w:line="360" w:lineRule="auto"/>
        <w:ind w:firstLine="640" w:firstLineChars="200"/>
        <w:rPr>
          <w:rFonts w:ascii="方正仿宋_GBK" w:hAnsi="Times New Roman" w:eastAsia="方正仿宋_GBK" w:cs="Times New Roman"/>
          <w:sz w:val="32"/>
          <w:szCs w:val="32"/>
        </w:rPr>
      </w:pPr>
      <w:r>
        <w:rPr>
          <w:rFonts w:hint="eastAsia" w:ascii="方正仿宋_GBK" w:hAnsi="Times New Roman" w:eastAsia="方正仿宋_GBK" w:cs="Times New Roman"/>
          <w:sz w:val="32"/>
          <w:szCs w:val="32"/>
        </w:rPr>
        <w:t>（三）未按照规定核定或者调整政府投资项目的投资概算；</w:t>
      </w:r>
    </w:p>
    <w:p>
      <w:pPr>
        <w:spacing w:line="360" w:lineRule="auto"/>
        <w:ind w:firstLine="640" w:firstLineChars="200"/>
        <w:rPr>
          <w:rFonts w:ascii="方正仿宋_GBK" w:hAnsi="Times New Roman" w:eastAsia="方正仿宋_GBK" w:cs="Times New Roman"/>
          <w:sz w:val="32"/>
          <w:szCs w:val="32"/>
        </w:rPr>
      </w:pPr>
      <w:r>
        <w:rPr>
          <w:rFonts w:hint="eastAsia" w:ascii="方正仿宋_GBK" w:hAnsi="Times New Roman" w:eastAsia="方正仿宋_GBK" w:cs="Times New Roman"/>
          <w:sz w:val="32"/>
          <w:szCs w:val="32"/>
        </w:rPr>
        <w:t>（四）为不符合规定的项目安排投资补助、贷款贴息等政府投资资金；</w:t>
      </w:r>
    </w:p>
    <w:p>
      <w:pPr>
        <w:spacing w:line="360" w:lineRule="auto"/>
        <w:ind w:firstLine="640" w:firstLineChars="200"/>
        <w:rPr>
          <w:rFonts w:ascii="方正仿宋_GBK" w:hAnsi="Times New Roman" w:eastAsia="方正仿宋_GBK" w:cs="Times New Roman"/>
          <w:sz w:val="32"/>
          <w:szCs w:val="32"/>
        </w:rPr>
      </w:pPr>
      <w:r>
        <w:rPr>
          <w:rFonts w:hint="eastAsia" w:ascii="方正仿宋_GBK" w:hAnsi="Times New Roman" w:eastAsia="方正仿宋_GBK" w:cs="Times New Roman"/>
          <w:sz w:val="32"/>
          <w:szCs w:val="32"/>
        </w:rPr>
        <w:t>（五）履行政府投资管理职责中其他玩忽职守、滥用职权、徇私舞弊的情形。</w:t>
      </w:r>
    </w:p>
    <w:p>
      <w:pPr>
        <w:pStyle w:val="3"/>
        <w:keepNext w:val="0"/>
        <w:keepLines w:val="0"/>
        <w:numPr>
          <w:ilvl w:val="0"/>
          <w:numId w:val="1"/>
        </w:numPr>
        <w:spacing w:before="156" w:beforeLines="50" w:after="0" w:line="360" w:lineRule="auto"/>
        <w:ind w:left="0" w:firstLine="707" w:firstLineChars="221"/>
        <w:rPr>
          <w:rFonts w:ascii="方正仿宋_GBK" w:hAnsi="Times New Roman" w:eastAsia="方正仿宋_GBK" w:cs="Times New Roman"/>
          <w:b w:val="0"/>
          <w:bCs w:val="0"/>
        </w:rPr>
      </w:pPr>
      <w:r>
        <w:rPr>
          <w:rFonts w:hint="eastAsia" w:ascii="方正仿宋_GBK" w:hAnsi="Times New Roman" w:eastAsia="方正仿宋_GBK" w:cs="Times New Roman"/>
          <w:b w:val="0"/>
          <w:bCs w:val="0"/>
        </w:rPr>
        <w:t>有下列情形之一的，依照有关预算的法律、行政法规和国家有关规定追究法律责任：</w:t>
      </w:r>
    </w:p>
    <w:p>
      <w:pPr>
        <w:spacing w:line="360" w:lineRule="auto"/>
        <w:ind w:firstLine="640" w:firstLineChars="200"/>
        <w:rPr>
          <w:rFonts w:ascii="方正仿宋_GBK" w:hAnsi="Times New Roman" w:eastAsia="方正仿宋_GBK" w:cs="Times New Roman"/>
          <w:sz w:val="32"/>
          <w:szCs w:val="32"/>
        </w:rPr>
      </w:pPr>
      <w:r>
        <w:rPr>
          <w:rFonts w:hint="eastAsia" w:ascii="方正仿宋_GBK" w:hAnsi="Times New Roman" w:eastAsia="方正仿宋_GBK" w:cs="Times New Roman"/>
          <w:sz w:val="32"/>
          <w:szCs w:val="32"/>
        </w:rPr>
        <w:t>（一）违法违规举借债务筹措政府投资资金；</w:t>
      </w:r>
    </w:p>
    <w:p>
      <w:pPr>
        <w:spacing w:line="360" w:lineRule="auto"/>
        <w:ind w:firstLine="640" w:firstLineChars="200"/>
        <w:rPr>
          <w:rFonts w:ascii="方正仿宋_GBK" w:hAnsi="Times New Roman" w:eastAsia="方正仿宋_GBK" w:cs="Times New Roman"/>
          <w:sz w:val="32"/>
          <w:szCs w:val="32"/>
        </w:rPr>
      </w:pPr>
      <w:r>
        <w:rPr>
          <w:rFonts w:hint="eastAsia" w:ascii="方正仿宋_GBK" w:hAnsi="Times New Roman" w:eastAsia="方正仿宋_GBK" w:cs="Times New Roman"/>
          <w:sz w:val="32"/>
          <w:szCs w:val="32"/>
        </w:rPr>
        <w:t>（二）未按照规定及时、足额办理政府投资资金拨付；</w:t>
      </w:r>
    </w:p>
    <w:p>
      <w:pPr>
        <w:spacing w:line="360" w:lineRule="auto"/>
        <w:ind w:firstLine="640" w:firstLineChars="200"/>
        <w:rPr>
          <w:rFonts w:ascii="方正仿宋_GBK" w:hAnsi="Times New Roman" w:eastAsia="方正仿宋_GBK" w:cs="Times New Roman"/>
          <w:sz w:val="32"/>
          <w:szCs w:val="32"/>
        </w:rPr>
      </w:pPr>
      <w:r>
        <w:rPr>
          <w:rFonts w:hint="eastAsia" w:ascii="方正仿宋_GBK" w:hAnsi="Times New Roman" w:eastAsia="方正仿宋_GBK" w:cs="Times New Roman"/>
          <w:sz w:val="32"/>
          <w:szCs w:val="32"/>
        </w:rPr>
        <w:t>（三）转移、侵占、挪用政府投资资金。</w:t>
      </w:r>
    </w:p>
    <w:p>
      <w:pPr>
        <w:pStyle w:val="3"/>
        <w:keepNext w:val="0"/>
        <w:keepLines w:val="0"/>
        <w:numPr>
          <w:ilvl w:val="0"/>
          <w:numId w:val="1"/>
        </w:numPr>
        <w:spacing w:before="156" w:beforeLines="50" w:after="0" w:line="360" w:lineRule="auto"/>
        <w:ind w:left="0" w:firstLine="707" w:firstLineChars="221"/>
        <w:rPr>
          <w:rFonts w:ascii="方正仿宋_GBK" w:hAnsi="Times New Roman" w:eastAsia="方正仿宋_GBK" w:cs="Times New Roman"/>
          <w:b w:val="0"/>
          <w:bCs w:val="0"/>
        </w:rPr>
      </w:pPr>
      <w:r>
        <w:rPr>
          <w:rFonts w:hint="eastAsia" w:ascii="方正仿宋_GBK" w:hAnsi="Times New Roman" w:eastAsia="方正仿宋_GBK" w:cs="Times New Roman"/>
          <w:b w:val="0"/>
          <w:bCs w:val="0"/>
        </w:rPr>
        <w:t>项目单位有下列情形之一的，责令改正，根据具体情况，暂停、停止拨付资金或者收回已拨付的资金，暂停或者停止建设活动，对负有责任的领导人员和直接责任人员依法给予处分：</w:t>
      </w:r>
    </w:p>
    <w:p>
      <w:pPr>
        <w:spacing w:line="360" w:lineRule="auto"/>
        <w:ind w:firstLine="640" w:firstLineChars="200"/>
        <w:rPr>
          <w:rFonts w:ascii="方正仿宋_GBK" w:hAnsi="Times New Roman" w:eastAsia="方正仿宋_GBK" w:cs="Times New Roman"/>
          <w:sz w:val="32"/>
          <w:szCs w:val="32"/>
        </w:rPr>
      </w:pPr>
      <w:r>
        <w:rPr>
          <w:rFonts w:hint="eastAsia" w:ascii="方正仿宋_GBK" w:hAnsi="Times New Roman" w:eastAsia="方正仿宋_GBK" w:cs="Times New Roman"/>
          <w:sz w:val="32"/>
          <w:szCs w:val="32"/>
        </w:rPr>
        <w:t>（一）未经批准或者不符合规定的建设条件开工建设政府投资项目；</w:t>
      </w:r>
    </w:p>
    <w:p>
      <w:pPr>
        <w:spacing w:line="360" w:lineRule="auto"/>
        <w:ind w:firstLine="640" w:firstLineChars="200"/>
        <w:rPr>
          <w:rFonts w:ascii="方正仿宋_GBK" w:hAnsi="Times New Roman" w:eastAsia="方正仿宋_GBK" w:cs="Times New Roman"/>
          <w:sz w:val="32"/>
          <w:szCs w:val="32"/>
        </w:rPr>
      </w:pPr>
      <w:r>
        <w:rPr>
          <w:rFonts w:hint="eastAsia" w:ascii="方正仿宋_GBK" w:hAnsi="Times New Roman" w:eastAsia="方正仿宋_GBK" w:cs="Times New Roman"/>
          <w:sz w:val="32"/>
          <w:szCs w:val="32"/>
        </w:rPr>
        <w:t>（二）弄虚作假骗取政府投资项目审批或者投资补助、贷款贴息等政府投资资金；</w:t>
      </w:r>
    </w:p>
    <w:p>
      <w:pPr>
        <w:spacing w:line="360" w:lineRule="auto"/>
        <w:ind w:firstLine="640" w:firstLineChars="200"/>
        <w:rPr>
          <w:rFonts w:ascii="方正仿宋_GBK" w:hAnsi="Times New Roman" w:eastAsia="方正仿宋_GBK" w:cs="Times New Roman"/>
          <w:sz w:val="32"/>
          <w:szCs w:val="32"/>
        </w:rPr>
      </w:pPr>
      <w:r>
        <w:rPr>
          <w:rFonts w:hint="eastAsia" w:ascii="方正仿宋_GBK" w:hAnsi="Times New Roman" w:eastAsia="方正仿宋_GBK" w:cs="Times New Roman"/>
          <w:sz w:val="32"/>
          <w:szCs w:val="32"/>
        </w:rPr>
        <w:t>（三）未经批准变更政府投资项目的建设地点或者对建设规模、建设内容等作较大变更；</w:t>
      </w:r>
    </w:p>
    <w:p>
      <w:pPr>
        <w:spacing w:line="360" w:lineRule="auto"/>
        <w:ind w:firstLine="640" w:firstLineChars="200"/>
        <w:rPr>
          <w:rFonts w:ascii="方正仿宋_GBK" w:hAnsi="Times New Roman" w:eastAsia="方正仿宋_GBK" w:cs="Times New Roman"/>
          <w:sz w:val="32"/>
          <w:szCs w:val="32"/>
        </w:rPr>
      </w:pPr>
      <w:r>
        <w:rPr>
          <w:rFonts w:hint="eastAsia" w:ascii="方正仿宋_GBK" w:hAnsi="Times New Roman" w:eastAsia="方正仿宋_GBK" w:cs="Times New Roman"/>
          <w:sz w:val="32"/>
          <w:szCs w:val="32"/>
        </w:rPr>
        <w:t>（四）擅自增加投资概算；</w:t>
      </w:r>
    </w:p>
    <w:p>
      <w:pPr>
        <w:spacing w:line="360" w:lineRule="auto"/>
        <w:ind w:firstLine="640" w:firstLineChars="200"/>
        <w:rPr>
          <w:rFonts w:ascii="方正仿宋_GBK" w:hAnsi="Times New Roman" w:eastAsia="方正仿宋_GBK" w:cs="Times New Roman"/>
          <w:sz w:val="32"/>
          <w:szCs w:val="32"/>
        </w:rPr>
      </w:pPr>
      <w:r>
        <w:rPr>
          <w:rFonts w:hint="eastAsia" w:ascii="方正仿宋_GBK" w:hAnsi="Times New Roman" w:eastAsia="方正仿宋_GBK" w:cs="Times New Roman"/>
          <w:sz w:val="32"/>
          <w:szCs w:val="32"/>
        </w:rPr>
        <w:t>（五）要求施工单位对政府投资项目垫资建设；</w:t>
      </w:r>
    </w:p>
    <w:p>
      <w:pPr>
        <w:spacing w:line="360" w:lineRule="auto"/>
        <w:ind w:firstLine="640" w:firstLineChars="200"/>
        <w:rPr>
          <w:rFonts w:ascii="方正仿宋_GBK" w:hAnsi="Times New Roman" w:eastAsia="方正仿宋_GBK" w:cs="Times New Roman"/>
          <w:sz w:val="32"/>
          <w:szCs w:val="32"/>
        </w:rPr>
      </w:pPr>
      <w:r>
        <w:rPr>
          <w:rFonts w:hint="eastAsia" w:ascii="方正仿宋_GBK" w:hAnsi="Times New Roman" w:eastAsia="方正仿宋_GBK" w:cs="Times New Roman"/>
          <w:sz w:val="32"/>
          <w:szCs w:val="32"/>
        </w:rPr>
        <w:t>（六）无正当理由不实施或者不按照建设工期实施已批准的政府投资项目；</w:t>
      </w:r>
    </w:p>
    <w:p>
      <w:pPr>
        <w:spacing w:line="360" w:lineRule="auto"/>
        <w:ind w:firstLine="640" w:firstLineChars="200"/>
        <w:rPr>
          <w:rFonts w:ascii="方正仿宋_GBK" w:hAnsi="Times New Roman" w:eastAsia="方正仿宋_GBK" w:cs="Times New Roman"/>
          <w:sz w:val="32"/>
          <w:szCs w:val="32"/>
        </w:rPr>
      </w:pPr>
      <w:r>
        <w:rPr>
          <w:rFonts w:hint="eastAsia" w:ascii="方正仿宋_GBK" w:hAnsi="Times New Roman" w:eastAsia="方正仿宋_GBK" w:cs="Times New Roman"/>
          <w:sz w:val="32"/>
          <w:szCs w:val="32"/>
        </w:rPr>
        <w:t>（七）</w:t>
      </w:r>
      <w:r>
        <w:rPr>
          <w:rFonts w:ascii="方正仿宋_GBK" w:hAnsi="Times New Roman" w:eastAsia="方正仿宋_GBK" w:cs="Times New Roman"/>
          <w:sz w:val="32"/>
          <w:szCs w:val="32"/>
        </w:rPr>
        <w:t>未按照规定开展政府投资项目前期工作;</w:t>
      </w:r>
    </w:p>
    <w:p>
      <w:pPr>
        <w:spacing w:line="360" w:lineRule="auto"/>
        <w:ind w:firstLine="640" w:firstLineChars="200"/>
        <w:rPr>
          <w:rFonts w:ascii="方正仿宋_GBK" w:hAnsi="Times New Roman" w:eastAsia="方正仿宋_GBK" w:cs="Times New Roman"/>
          <w:sz w:val="32"/>
          <w:szCs w:val="32"/>
        </w:rPr>
      </w:pPr>
      <w:r>
        <w:rPr>
          <w:rFonts w:hint="eastAsia" w:ascii="方正仿宋_GBK" w:hAnsi="Times New Roman" w:eastAsia="方正仿宋_GBK" w:cs="Times New Roman"/>
          <w:sz w:val="32"/>
          <w:szCs w:val="32"/>
        </w:rPr>
        <w:t>（八）</w:t>
      </w:r>
      <w:r>
        <w:rPr>
          <w:rFonts w:ascii="方正仿宋_GBK" w:hAnsi="Times New Roman" w:eastAsia="方正仿宋_GBK" w:cs="Times New Roman"/>
          <w:sz w:val="32"/>
          <w:szCs w:val="32"/>
        </w:rPr>
        <w:t>未按照规定实施项目法人责任制和建设管理代理制;</w:t>
      </w:r>
    </w:p>
    <w:p>
      <w:pPr>
        <w:spacing w:line="360" w:lineRule="auto"/>
        <w:ind w:firstLine="640" w:firstLineChars="200"/>
        <w:rPr>
          <w:rFonts w:ascii="方正仿宋_GBK" w:hAnsi="Times New Roman" w:eastAsia="方正仿宋_GBK" w:cs="Times New Roman"/>
          <w:sz w:val="32"/>
          <w:szCs w:val="32"/>
        </w:rPr>
      </w:pPr>
      <w:r>
        <w:rPr>
          <w:rFonts w:hint="eastAsia" w:ascii="方正仿宋_GBK" w:hAnsi="Times New Roman" w:eastAsia="方正仿宋_GBK" w:cs="Times New Roman"/>
          <w:sz w:val="32"/>
          <w:szCs w:val="32"/>
        </w:rPr>
        <w:t>（九）</w:t>
      </w:r>
      <w:r>
        <w:rPr>
          <w:rFonts w:ascii="方正仿宋_GBK" w:hAnsi="Times New Roman" w:eastAsia="方正仿宋_GBK" w:cs="Times New Roman"/>
          <w:sz w:val="32"/>
          <w:szCs w:val="32"/>
        </w:rPr>
        <w:t>未按照规定及时办理竣工验收或者财务决算手续;</w:t>
      </w:r>
    </w:p>
    <w:p>
      <w:pPr>
        <w:spacing w:line="360" w:lineRule="auto"/>
        <w:ind w:firstLine="640" w:firstLineChars="200"/>
        <w:rPr>
          <w:rFonts w:ascii="方正仿宋_GBK" w:hAnsi="Times New Roman" w:eastAsia="方正仿宋_GBK" w:cs="Times New Roman"/>
          <w:sz w:val="32"/>
          <w:szCs w:val="32"/>
        </w:rPr>
      </w:pPr>
      <w:r>
        <w:rPr>
          <w:rFonts w:hint="eastAsia" w:ascii="方正仿宋_GBK" w:hAnsi="Times New Roman" w:eastAsia="方正仿宋_GBK" w:cs="Times New Roman"/>
          <w:sz w:val="32"/>
          <w:szCs w:val="32"/>
        </w:rPr>
        <w:t>（十）</w:t>
      </w:r>
      <w:r>
        <w:rPr>
          <w:rFonts w:ascii="方正仿宋_GBK" w:hAnsi="Times New Roman" w:eastAsia="方正仿宋_GBK" w:cs="Times New Roman"/>
          <w:sz w:val="32"/>
          <w:szCs w:val="32"/>
        </w:rPr>
        <w:t>未及时报告项目实施中出现的重大问题。</w:t>
      </w:r>
    </w:p>
    <w:p>
      <w:pPr>
        <w:pStyle w:val="3"/>
        <w:keepNext w:val="0"/>
        <w:keepLines w:val="0"/>
        <w:numPr>
          <w:ilvl w:val="0"/>
          <w:numId w:val="1"/>
        </w:numPr>
        <w:spacing w:before="156" w:beforeLines="50" w:after="0" w:line="360" w:lineRule="auto"/>
        <w:ind w:left="0" w:firstLine="707" w:firstLineChars="221"/>
        <w:rPr>
          <w:rFonts w:ascii="方正仿宋_GBK" w:hAnsi="Times New Roman" w:eastAsia="方正仿宋_GBK" w:cs="Times New Roman"/>
          <w:b w:val="0"/>
          <w:bCs w:val="0"/>
        </w:rPr>
      </w:pPr>
      <w:r>
        <w:rPr>
          <w:rFonts w:hint="eastAsia" w:ascii="方正仿宋_GBK" w:hAnsi="Times New Roman" w:eastAsia="方正仿宋_GBK" w:cs="Times New Roman"/>
          <w:b w:val="0"/>
          <w:bCs w:val="0"/>
        </w:rPr>
        <w:t>项目单位未按照规定将政府投资项目审批和实施过程中的有关文件、资料存档备查，或者转移、隐匿、篡改、毁弃项目有关文件、资料的，责令改正，对负有责任的领导人员和直接责任人员依法给予处分。</w:t>
      </w:r>
    </w:p>
    <w:p>
      <w:pPr>
        <w:pStyle w:val="3"/>
        <w:keepNext w:val="0"/>
        <w:keepLines w:val="0"/>
        <w:numPr>
          <w:ilvl w:val="0"/>
          <w:numId w:val="1"/>
        </w:numPr>
        <w:spacing w:before="156" w:beforeLines="50" w:after="0" w:line="360" w:lineRule="auto"/>
        <w:ind w:left="0" w:firstLine="707" w:firstLineChars="221"/>
        <w:rPr>
          <w:rFonts w:ascii="方正仿宋_GBK" w:hAnsi="Times New Roman" w:eastAsia="方正仿宋_GBK" w:cs="Times New Roman"/>
          <w:b w:val="0"/>
          <w:bCs w:val="0"/>
        </w:rPr>
      </w:pPr>
      <w:r>
        <w:rPr>
          <w:rFonts w:hint="eastAsia" w:ascii="方正仿宋_GBK" w:hAnsi="Times New Roman" w:eastAsia="方正仿宋_GBK" w:cs="Times New Roman"/>
          <w:b w:val="0"/>
          <w:bCs w:val="0"/>
        </w:rPr>
        <w:t>建设管理代理机构、咨询、评估、招标代理、勘察、设计、施工、监理、设备材料供应商等单位及其工作人员在工作过程中弄虚作假或者有重大疏忽情形的，由有权机关责令改正，依照有关法律法规规定予以处罚，并将违法情况纳入信用管理。</w:t>
      </w:r>
    </w:p>
    <w:p>
      <w:pPr>
        <w:pStyle w:val="3"/>
        <w:keepNext w:val="0"/>
        <w:keepLines w:val="0"/>
        <w:numPr>
          <w:ilvl w:val="0"/>
          <w:numId w:val="1"/>
        </w:numPr>
        <w:spacing w:before="156" w:beforeLines="50" w:after="0" w:line="360" w:lineRule="auto"/>
        <w:ind w:left="0" w:firstLine="707" w:firstLineChars="221"/>
        <w:rPr>
          <w:rFonts w:ascii="方正仿宋_GBK" w:hAnsi="Times New Roman" w:eastAsia="方正仿宋_GBK" w:cs="Times New Roman"/>
          <w:b w:val="0"/>
          <w:bCs w:val="0"/>
        </w:rPr>
      </w:pPr>
      <w:r>
        <w:rPr>
          <w:rFonts w:hint="eastAsia" w:ascii="方正仿宋_GBK" w:hAnsi="Times New Roman" w:eastAsia="方正仿宋_GBK" w:cs="Times New Roman"/>
          <w:b w:val="0"/>
          <w:bCs w:val="0"/>
        </w:rPr>
        <w:t>违反本办法规定，其他法律法规已有处罚规定的，从其规定</w:t>
      </w:r>
      <w:r>
        <w:rPr>
          <w:rFonts w:ascii="方正仿宋_GBK" w:hAnsi="Times New Roman" w:eastAsia="方正仿宋_GBK" w:cs="Times New Roman"/>
          <w:b w:val="0"/>
          <w:bCs w:val="0"/>
        </w:rPr>
        <w:t>;造成损失的，依法给予赔偿</w:t>
      </w:r>
      <w:r>
        <w:rPr>
          <w:rFonts w:hint="eastAsia" w:ascii="方正仿宋_GBK" w:hAnsi="Times New Roman" w:eastAsia="方正仿宋_GBK" w:cs="Times New Roman"/>
          <w:b w:val="0"/>
          <w:bCs w:val="0"/>
        </w:rPr>
        <w:t>；</w:t>
      </w:r>
      <w:r>
        <w:rPr>
          <w:rFonts w:ascii="方正仿宋_GBK" w:hAnsi="Times New Roman" w:eastAsia="方正仿宋_GBK" w:cs="Times New Roman"/>
          <w:b w:val="0"/>
          <w:bCs w:val="0"/>
        </w:rPr>
        <w:t>涉嫌犯罪的，移送司法机关依法处理</w:t>
      </w:r>
      <w:r>
        <w:rPr>
          <w:rFonts w:hint="eastAsia" w:ascii="方正仿宋_GBK" w:hAnsi="Times New Roman" w:eastAsia="方正仿宋_GBK" w:cs="Times New Roman"/>
          <w:b w:val="0"/>
          <w:bCs w:val="0"/>
        </w:rPr>
        <w:t>。</w:t>
      </w:r>
    </w:p>
    <w:p>
      <w:pPr>
        <w:pStyle w:val="2"/>
        <w:keepNext w:val="0"/>
        <w:keepLines w:val="0"/>
        <w:spacing w:before="312" w:beforeLines="100" w:after="156" w:afterLines="50" w:line="360" w:lineRule="auto"/>
        <w:jc w:val="center"/>
        <w:rPr>
          <w:rFonts w:ascii="方正小标宋_GBK" w:hAnsi="Times New Roman" w:eastAsia="方正小标宋_GBK" w:cs="Times New Roman"/>
          <w:b w:val="0"/>
          <w:bCs w:val="0"/>
          <w:sz w:val="32"/>
          <w:szCs w:val="32"/>
        </w:rPr>
      </w:pPr>
      <w:r>
        <w:rPr>
          <w:rFonts w:hint="eastAsia" w:ascii="方正小标宋_GBK" w:hAnsi="Times New Roman" w:eastAsia="方正小标宋_GBK" w:cs="Times New Roman"/>
          <w:b w:val="0"/>
          <w:bCs w:val="0"/>
          <w:sz w:val="32"/>
          <w:szCs w:val="32"/>
        </w:rPr>
        <w:t>第七章 附则</w:t>
      </w:r>
    </w:p>
    <w:p>
      <w:pPr>
        <w:pStyle w:val="3"/>
        <w:keepNext w:val="0"/>
        <w:keepLines w:val="0"/>
        <w:numPr>
          <w:ilvl w:val="0"/>
          <w:numId w:val="1"/>
        </w:numPr>
        <w:spacing w:before="156" w:beforeLines="50" w:after="0" w:line="360" w:lineRule="auto"/>
        <w:ind w:left="0" w:firstLine="707" w:firstLineChars="221"/>
        <w:rPr>
          <w:rFonts w:ascii="方正仿宋_GBK" w:hAnsi="Times New Roman" w:eastAsia="方正仿宋_GBK" w:cs="Times New Roman"/>
          <w:b w:val="0"/>
          <w:bCs w:val="0"/>
        </w:rPr>
      </w:pPr>
      <w:r>
        <w:rPr>
          <w:rFonts w:hint="eastAsia" w:ascii="方正仿宋_GBK" w:hAnsi="Times New Roman" w:eastAsia="方正仿宋_GBK" w:cs="Times New Roman"/>
          <w:b w:val="0"/>
          <w:bCs w:val="0"/>
        </w:rPr>
        <w:t>两江新区各直属企业，各街道办事处，委机关各部门，各直属事业单位在直管区范围内所实施的政府投资项目管理均适用本办法。</w:t>
      </w:r>
    </w:p>
    <w:p>
      <w:pPr>
        <w:pStyle w:val="3"/>
        <w:keepNext w:val="0"/>
        <w:keepLines w:val="0"/>
        <w:numPr>
          <w:ilvl w:val="0"/>
          <w:numId w:val="1"/>
        </w:numPr>
        <w:spacing w:before="156" w:beforeLines="50" w:after="0" w:line="360" w:lineRule="auto"/>
        <w:ind w:left="0" w:firstLine="707" w:firstLineChars="221"/>
        <w:rPr>
          <w:rFonts w:ascii="方正仿宋_GBK" w:hAnsi="Times New Roman" w:eastAsia="方正仿宋_GBK" w:cs="Times New Roman"/>
          <w:b w:val="0"/>
          <w:bCs w:val="0"/>
        </w:rPr>
      </w:pPr>
      <w:r>
        <w:rPr>
          <w:rFonts w:hint="eastAsia" w:ascii="方正仿宋_GBK" w:hAnsi="Times New Roman" w:eastAsia="方正仿宋_GBK" w:cs="Times New Roman"/>
          <w:b w:val="0"/>
          <w:bCs w:val="0"/>
        </w:rPr>
        <w:t>使用由政府负责偿还或是提供还款担保的国际金融机构贷款、外国主权基金等法律、法规规定资金的项目，按照政府投资项目进行管理。</w:t>
      </w:r>
    </w:p>
    <w:p>
      <w:pPr>
        <w:spacing w:line="360" w:lineRule="auto"/>
        <w:ind w:firstLine="640" w:firstLineChars="200"/>
        <w:rPr>
          <w:rFonts w:ascii="方正仿宋_GBK" w:hAnsi="Times New Roman" w:eastAsia="方正仿宋_GBK" w:cs="Times New Roman"/>
          <w:sz w:val="32"/>
          <w:szCs w:val="32"/>
        </w:rPr>
      </w:pPr>
      <w:r>
        <w:rPr>
          <w:rFonts w:hint="eastAsia" w:ascii="方正仿宋_GBK" w:hAnsi="Times New Roman" w:eastAsia="方正仿宋_GBK" w:cs="Times New Roman"/>
          <w:sz w:val="32"/>
          <w:szCs w:val="32"/>
        </w:rPr>
        <w:t>国务院、市政府及其他有关部门对使用中央财政资金、市财政资金的政府投资项目管理另有规定的，从其规定。</w:t>
      </w:r>
    </w:p>
    <w:p>
      <w:pPr>
        <w:spacing w:line="360" w:lineRule="auto"/>
        <w:ind w:firstLine="640" w:firstLineChars="200"/>
        <w:rPr>
          <w:rFonts w:ascii="方正仿宋_GBK" w:hAnsi="Times New Roman" w:eastAsia="方正仿宋_GBK" w:cs="Times New Roman"/>
          <w:sz w:val="32"/>
          <w:szCs w:val="32"/>
        </w:rPr>
      </w:pPr>
      <w:r>
        <w:rPr>
          <w:rFonts w:hint="eastAsia" w:ascii="方正仿宋_GBK" w:hAnsi="Times New Roman" w:eastAsia="方正仿宋_GBK" w:cs="Times New Roman"/>
          <w:sz w:val="32"/>
          <w:szCs w:val="32"/>
        </w:rPr>
        <w:t>国家、重庆市及两江新区对政务信息化项目建设另有规定的，从其规定。</w:t>
      </w:r>
    </w:p>
    <w:p>
      <w:pPr>
        <w:spacing w:line="360" w:lineRule="auto"/>
        <w:ind w:firstLine="640" w:firstLineChars="200"/>
        <w:rPr>
          <w:rFonts w:hint="eastAsia" w:ascii="方正仿宋_GBK" w:hAnsi="Times New Roman" w:eastAsia="方正仿宋_GBK" w:cs="Times New Roman"/>
          <w:sz w:val="32"/>
          <w:szCs w:val="32"/>
        </w:rPr>
      </w:pPr>
      <w:r>
        <w:rPr>
          <w:rFonts w:hint="eastAsia" w:ascii="方正仿宋_GBK" w:hAnsi="Times New Roman" w:eastAsia="方正仿宋_GBK" w:cs="Times New Roman"/>
          <w:sz w:val="32"/>
          <w:szCs w:val="32"/>
        </w:rPr>
        <w:t>涉及国家安全、保密等特殊项目审批按国家、重庆市及两江新区相关保密规定执行。</w:t>
      </w:r>
    </w:p>
    <w:p>
      <w:pPr>
        <w:pStyle w:val="3"/>
        <w:keepNext w:val="0"/>
        <w:keepLines w:val="0"/>
        <w:numPr>
          <w:ilvl w:val="0"/>
          <w:numId w:val="1"/>
        </w:numPr>
        <w:spacing w:before="156" w:beforeLines="50" w:after="0" w:line="360" w:lineRule="auto"/>
        <w:ind w:left="0" w:firstLine="707" w:firstLineChars="221"/>
        <w:rPr>
          <w:rFonts w:ascii="方正仿宋_GBK" w:hAnsi="Times New Roman" w:eastAsia="方正仿宋_GBK" w:cs="Times New Roman"/>
          <w:b w:val="0"/>
          <w:bCs w:val="0"/>
        </w:rPr>
      </w:pPr>
      <w:r>
        <w:rPr>
          <w:rFonts w:hint="eastAsia" w:ascii="方正仿宋_GBK" w:hAnsi="Times New Roman" w:eastAsia="方正仿宋_GBK" w:cs="Times New Roman"/>
          <w:b w:val="0"/>
          <w:bCs w:val="0"/>
        </w:rPr>
        <w:t>本办法自</w:t>
      </w:r>
      <w:r>
        <w:rPr>
          <w:rFonts w:ascii="方正仿宋_GBK" w:hAnsi="Times New Roman" w:eastAsia="方正仿宋_GBK" w:cs="Times New Roman"/>
          <w:b w:val="0"/>
          <w:bCs w:val="0"/>
        </w:rPr>
        <w:t>2021年</w:t>
      </w:r>
      <w:r>
        <w:rPr>
          <w:rFonts w:hint="eastAsia" w:ascii="方正仿宋_GBK" w:hAnsi="Times New Roman" w:eastAsia="方正仿宋_GBK" w:cs="Times New Roman"/>
          <w:b w:val="0"/>
          <w:bCs w:val="0"/>
          <w:color w:val="FF0000"/>
        </w:rPr>
        <w:t>x</w:t>
      </w:r>
      <w:r>
        <w:rPr>
          <w:rFonts w:ascii="方正仿宋_GBK" w:hAnsi="Times New Roman" w:eastAsia="方正仿宋_GBK" w:cs="Times New Roman"/>
          <w:b w:val="0"/>
          <w:bCs w:val="0"/>
          <w:color w:val="FF0000"/>
        </w:rPr>
        <w:t>月</w:t>
      </w:r>
      <w:r>
        <w:rPr>
          <w:rFonts w:hint="eastAsia" w:ascii="方正仿宋_GBK" w:hAnsi="Times New Roman" w:eastAsia="方正仿宋_GBK" w:cs="Times New Roman"/>
          <w:b w:val="0"/>
          <w:bCs w:val="0"/>
          <w:color w:val="FF0000"/>
        </w:rPr>
        <w:t>x</w:t>
      </w:r>
      <w:r>
        <w:rPr>
          <w:rFonts w:ascii="方正仿宋_GBK" w:hAnsi="Times New Roman" w:eastAsia="方正仿宋_GBK" w:cs="Times New Roman"/>
          <w:b w:val="0"/>
          <w:bCs w:val="0"/>
          <w:color w:val="FF0000"/>
        </w:rPr>
        <w:t>日</w:t>
      </w:r>
      <w:r>
        <w:rPr>
          <w:rFonts w:ascii="方正仿宋_GBK" w:hAnsi="Times New Roman" w:eastAsia="方正仿宋_GBK" w:cs="Times New Roman"/>
          <w:b w:val="0"/>
          <w:bCs w:val="0"/>
        </w:rPr>
        <w:t>起施行</w:t>
      </w:r>
      <w:r>
        <w:rPr>
          <w:rFonts w:hint="eastAsia" w:ascii="方正仿宋_GBK" w:hAnsi="Times New Roman" w:eastAsia="方正仿宋_GBK" w:cs="Times New Roman"/>
          <w:b w:val="0"/>
          <w:bCs w:val="0"/>
        </w:rPr>
        <w:t>，由两江新区管委会负责解释。</w:t>
      </w:r>
    </w:p>
    <w:p>
      <w:pPr>
        <w:spacing w:line="360" w:lineRule="auto"/>
        <w:ind w:firstLine="640" w:firstLineChars="200"/>
        <w:rPr>
          <w:rFonts w:ascii="方正仿宋_GBK" w:hAnsi="Times New Roman" w:eastAsia="方正仿宋_GBK" w:cs="Times New Roman"/>
          <w:sz w:val="32"/>
          <w:szCs w:val="32"/>
        </w:rPr>
      </w:pPr>
    </w:p>
    <w:sectPr>
      <w:footerReference r:id="rId3"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等线">
    <w:panose1 w:val="02010600030101010101"/>
    <w:charset w:val="86"/>
    <w:family w:val="auto"/>
    <w:pitch w:val="default"/>
    <w:sig w:usb0="A00002BF" w:usb1="38CF7CFA" w:usb2="00000016" w:usb3="00000000" w:csb0="0004000F" w:csb1="00000000"/>
  </w:font>
  <w:font w:name="等线 Light">
    <w:panose1 w:val="02010600030101010101"/>
    <w:charset w:val="86"/>
    <w:family w:val="auto"/>
    <w:pitch w:val="default"/>
    <w:sig w:usb0="A00002BF" w:usb1="38CF7CFA" w:usb2="00000016" w:usb3="00000000" w:csb0="0004000F" w:csb1="00000000"/>
  </w:font>
  <w:font w:name="方正小标宋_GBK">
    <w:panose1 w:val="03000509000000000000"/>
    <w:charset w:val="86"/>
    <w:family w:val="script"/>
    <w:pitch w:val="default"/>
    <w:sig w:usb0="00000001" w:usb1="080E0000" w:usb2="00000000" w:usb3="00000000" w:csb0="00040000" w:csb1="00000000"/>
  </w:font>
  <w:font w:name="方正仿宋_GBK">
    <w:panose1 w:val="03000509000000000000"/>
    <w:charset w:val="86"/>
    <w:family w:val="script"/>
    <w:pitch w:val="default"/>
    <w:sig w:usb0="00000001" w:usb1="080E0000" w:usb2="00000000" w:usb3="00000000" w:csb0="00040000" w:csb1="00000000"/>
  </w:font>
  <w:font w:name="方正仿宋简体">
    <w:altName w:val="微软雅黑"/>
    <w:panose1 w:val="00000000000000000000"/>
    <w:charset w:val="86"/>
    <w:family w:val="auto"/>
    <w:pitch w:val="default"/>
    <w:sig w:usb0="00000000" w:usb1="00000000" w:usb2="00000010" w:usb3="00000000" w:csb0="00040000" w:csb1="00000000"/>
  </w:font>
  <w:font w:name="Arial">
    <w:panose1 w:val="020B0604020202020204"/>
    <w:charset w:val="00"/>
    <w:family w:val="swiss"/>
    <w:pitch w:val="default"/>
    <w:sig w:usb0="E0002EFF" w:usb1="C000785B" w:usb2="00000009" w:usb3="00000000" w:csb0="400001FF" w:csb1="FFFF0000"/>
  </w:font>
  <w:font w:name="微软雅黑">
    <w:panose1 w:val="020B0503020204020204"/>
    <w:charset w:val="86"/>
    <w:family w:val="auto"/>
    <w:pitch w:val="default"/>
    <w:sig w:usb0="80000287" w:usb1="2ACF3C5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rPr>
        <w:rFonts w:ascii="Arial" w:hAnsi="Arial" w:cs="Arial"/>
        <w:b/>
        <w:bCs/>
      </w:rPr>
      <w:id w:val="-783799543"/>
    </w:sdtPr>
    <w:sdtEndPr>
      <w:rPr>
        <w:rFonts w:ascii="Arial" w:hAnsi="Arial" w:cs="Arial"/>
        <w:b/>
        <w:bCs/>
      </w:rPr>
    </w:sdtEndPr>
    <w:sdtContent>
      <w:p>
        <w:pPr>
          <w:pStyle w:val="13"/>
          <w:jc w:val="right"/>
          <w:rPr>
            <w:rFonts w:ascii="Arial" w:hAnsi="Arial" w:cs="Arial"/>
            <w:b/>
            <w:bCs/>
          </w:rPr>
        </w:pPr>
        <w:r>
          <w:rPr>
            <w:rFonts w:ascii="Arial" w:hAnsi="Arial" w:cs="Arial"/>
            <w:b/>
            <w:bCs/>
          </w:rPr>
          <w:fldChar w:fldCharType="begin"/>
        </w:r>
        <w:r>
          <w:rPr>
            <w:rFonts w:ascii="Arial" w:hAnsi="Arial" w:cs="Arial"/>
            <w:b/>
            <w:bCs/>
          </w:rPr>
          <w:instrText xml:space="preserve">PAGE   \* MERGEFORMAT</w:instrText>
        </w:r>
        <w:r>
          <w:rPr>
            <w:rFonts w:ascii="Arial" w:hAnsi="Arial" w:cs="Arial"/>
            <w:b/>
            <w:bCs/>
          </w:rPr>
          <w:fldChar w:fldCharType="separate"/>
        </w:r>
        <w:r>
          <w:rPr>
            <w:rFonts w:ascii="Arial" w:hAnsi="Arial" w:cs="Arial"/>
            <w:b/>
            <w:bCs/>
            <w:lang w:val="zh-CN"/>
          </w:rPr>
          <w:t>28</w:t>
        </w:r>
        <w:r>
          <w:rPr>
            <w:rFonts w:ascii="Arial" w:hAnsi="Arial" w:cs="Arial"/>
            <w:b/>
            <w:bCs/>
          </w:rPr>
          <w:fldChar w:fldCharType="end"/>
        </w:r>
      </w:p>
    </w:sdtContent>
  </w:sdt>
  <w:p>
    <w:pPr>
      <w:pStyle w:val="13"/>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79690DBB"/>
    <w:multiLevelType w:val="multilevel"/>
    <w:tmpl w:val="79690DBB"/>
    <w:lvl w:ilvl="0" w:tentative="0">
      <w:start w:val="1"/>
      <w:numFmt w:val="chineseCountingThousand"/>
      <w:lvlText w:val="第%1条"/>
      <w:lvlJc w:val="left"/>
      <w:pPr>
        <w:ind w:left="420" w:hanging="420"/>
      </w:pPr>
      <w:rPr>
        <w:rFonts w:hint="eastAsia"/>
        <w:b/>
        <w:bCs/>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1"/>
  <w:bordersDoNotSurroundFooter w:val="1"/>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75C8C"/>
    <w:rsid w:val="00003981"/>
    <w:rsid w:val="00003F92"/>
    <w:rsid w:val="0000671F"/>
    <w:rsid w:val="00017096"/>
    <w:rsid w:val="000201EB"/>
    <w:rsid w:val="0002187A"/>
    <w:rsid w:val="00024163"/>
    <w:rsid w:val="00032810"/>
    <w:rsid w:val="00033718"/>
    <w:rsid w:val="00033966"/>
    <w:rsid w:val="00040312"/>
    <w:rsid w:val="00040EE9"/>
    <w:rsid w:val="000410B0"/>
    <w:rsid w:val="00044252"/>
    <w:rsid w:val="00044A36"/>
    <w:rsid w:val="000463FC"/>
    <w:rsid w:val="00053E7C"/>
    <w:rsid w:val="000544ED"/>
    <w:rsid w:val="00055830"/>
    <w:rsid w:val="0006131C"/>
    <w:rsid w:val="0006241B"/>
    <w:rsid w:val="00064AAE"/>
    <w:rsid w:val="00066A2D"/>
    <w:rsid w:val="00070EBA"/>
    <w:rsid w:val="00072A7D"/>
    <w:rsid w:val="00074206"/>
    <w:rsid w:val="000746C4"/>
    <w:rsid w:val="0008006A"/>
    <w:rsid w:val="00084235"/>
    <w:rsid w:val="00084E65"/>
    <w:rsid w:val="0008787F"/>
    <w:rsid w:val="00090BE1"/>
    <w:rsid w:val="000917C0"/>
    <w:rsid w:val="000920C7"/>
    <w:rsid w:val="000924DC"/>
    <w:rsid w:val="00094FC2"/>
    <w:rsid w:val="000956C0"/>
    <w:rsid w:val="000A0C28"/>
    <w:rsid w:val="000A1B54"/>
    <w:rsid w:val="000A1B5A"/>
    <w:rsid w:val="000A1CE5"/>
    <w:rsid w:val="000A42EE"/>
    <w:rsid w:val="000A4404"/>
    <w:rsid w:val="000A527E"/>
    <w:rsid w:val="000B0978"/>
    <w:rsid w:val="000B13CE"/>
    <w:rsid w:val="000B232A"/>
    <w:rsid w:val="000C1497"/>
    <w:rsid w:val="000C18D3"/>
    <w:rsid w:val="000C6454"/>
    <w:rsid w:val="000C6D08"/>
    <w:rsid w:val="000C712B"/>
    <w:rsid w:val="000D3CF5"/>
    <w:rsid w:val="000D79AC"/>
    <w:rsid w:val="000E0B7D"/>
    <w:rsid w:val="000E0C2F"/>
    <w:rsid w:val="000E1B51"/>
    <w:rsid w:val="000E3147"/>
    <w:rsid w:val="000E7859"/>
    <w:rsid w:val="000F04BD"/>
    <w:rsid w:val="000F0785"/>
    <w:rsid w:val="000F1E38"/>
    <w:rsid w:val="000F3135"/>
    <w:rsid w:val="000F3E59"/>
    <w:rsid w:val="000F5D89"/>
    <w:rsid w:val="000F5F5E"/>
    <w:rsid w:val="0010193B"/>
    <w:rsid w:val="0010238D"/>
    <w:rsid w:val="00102CB9"/>
    <w:rsid w:val="00104913"/>
    <w:rsid w:val="00111574"/>
    <w:rsid w:val="00112EAD"/>
    <w:rsid w:val="00113C4F"/>
    <w:rsid w:val="001156D1"/>
    <w:rsid w:val="00117BE2"/>
    <w:rsid w:val="0012023A"/>
    <w:rsid w:val="0012074E"/>
    <w:rsid w:val="001212FD"/>
    <w:rsid w:val="00122800"/>
    <w:rsid w:val="00124846"/>
    <w:rsid w:val="00130A21"/>
    <w:rsid w:val="001327AA"/>
    <w:rsid w:val="00132AA8"/>
    <w:rsid w:val="001439DF"/>
    <w:rsid w:val="00152849"/>
    <w:rsid w:val="001536DB"/>
    <w:rsid w:val="00161170"/>
    <w:rsid w:val="00161A32"/>
    <w:rsid w:val="0016298A"/>
    <w:rsid w:val="00163374"/>
    <w:rsid w:val="001635DB"/>
    <w:rsid w:val="00163956"/>
    <w:rsid w:val="001644DE"/>
    <w:rsid w:val="0017045E"/>
    <w:rsid w:val="0017116C"/>
    <w:rsid w:val="0017203D"/>
    <w:rsid w:val="00174D9F"/>
    <w:rsid w:val="00176421"/>
    <w:rsid w:val="001814E5"/>
    <w:rsid w:val="00186DE0"/>
    <w:rsid w:val="001878A6"/>
    <w:rsid w:val="001913A0"/>
    <w:rsid w:val="0019302F"/>
    <w:rsid w:val="00193657"/>
    <w:rsid w:val="0019437D"/>
    <w:rsid w:val="0019678C"/>
    <w:rsid w:val="001A00FC"/>
    <w:rsid w:val="001A1067"/>
    <w:rsid w:val="001A4ED3"/>
    <w:rsid w:val="001A504F"/>
    <w:rsid w:val="001A58C4"/>
    <w:rsid w:val="001B1DE7"/>
    <w:rsid w:val="001B3D98"/>
    <w:rsid w:val="001B4276"/>
    <w:rsid w:val="001B615D"/>
    <w:rsid w:val="001B712C"/>
    <w:rsid w:val="001C0223"/>
    <w:rsid w:val="001C08DF"/>
    <w:rsid w:val="001C33B2"/>
    <w:rsid w:val="001C776C"/>
    <w:rsid w:val="001D01CB"/>
    <w:rsid w:val="001E2BF3"/>
    <w:rsid w:val="001E3327"/>
    <w:rsid w:val="001F0678"/>
    <w:rsid w:val="001F0CD1"/>
    <w:rsid w:val="001F1ABA"/>
    <w:rsid w:val="001F4F5B"/>
    <w:rsid w:val="001F58A7"/>
    <w:rsid w:val="001F6E12"/>
    <w:rsid w:val="001F7C9E"/>
    <w:rsid w:val="00200259"/>
    <w:rsid w:val="002050F4"/>
    <w:rsid w:val="0021012E"/>
    <w:rsid w:val="00213BA6"/>
    <w:rsid w:val="00216FF2"/>
    <w:rsid w:val="002174D5"/>
    <w:rsid w:val="00217CE6"/>
    <w:rsid w:val="00222441"/>
    <w:rsid w:val="0022304E"/>
    <w:rsid w:val="00230B79"/>
    <w:rsid w:val="00230CAC"/>
    <w:rsid w:val="00230F25"/>
    <w:rsid w:val="00231378"/>
    <w:rsid w:val="00232BD3"/>
    <w:rsid w:val="00234DF1"/>
    <w:rsid w:val="00236716"/>
    <w:rsid w:val="002374CF"/>
    <w:rsid w:val="00241CB7"/>
    <w:rsid w:val="00242158"/>
    <w:rsid w:val="002438BE"/>
    <w:rsid w:val="0024409B"/>
    <w:rsid w:val="0024576A"/>
    <w:rsid w:val="00247300"/>
    <w:rsid w:val="00250393"/>
    <w:rsid w:val="00251C24"/>
    <w:rsid w:val="00255202"/>
    <w:rsid w:val="00255B4B"/>
    <w:rsid w:val="00255E60"/>
    <w:rsid w:val="00262D89"/>
    <w:rsid w:val="0027140F"/>
    <w:rsid w:val="00271821"/>
    <w:rsid w:val="0027286A"/>
    <w:rsid w:val="00272BB1"/>
    <w:rsid w:val="00273C21"/>
    <w:rsid w:val="0027410E"/>
    <w:rsid w:val="002811BD"/>
    <w:rsid w:val="00281626"/>
    <w:rsid w:val="002827F5"/>
    <w:rsid w:val="002832E6"/>
    <w:rsid w:val="002843BD"/>
    <w:rsid w:val="002852F1"/>
    <w:rsid w:val="0029238D"/>
    <w:rsid w:val="002936DF"/>
    <w:rsid w:val="0029509B"/>
    <w:rsid w:val="002A21B5"/>
    <w:rsid w:val="002A2F50"/>
    <w:rsid w:val="002A67AA"/>
    <w:rsid w:val="002A6D04"/>
    <w:rsid w:val="002B1B3F"/>
    <w:rsid w:val="002B4610"/>
    <w:rsid w:val="002B53AD"/>
    <w:rsid w:val="002B6180"/>
    <w:rsid w:val="002B6437"/>
    <w:rsid w:val="002B723C"/>
    <w:rsid w:val="002B7BE9"/>
    <w:rsid w:val="002C212D"/>
    <w:rsid w:val="002C3877"/>
    <w:rsid w:val="002C3C00"/>
    <w:rsid w:val="002C5B50"/>
    <w:rsid w:val="002C72BA"/>
    <w:rsid w:val="002C7C03"/>
    <w:rsid w:val="002D098D"/>
    <w:rsid w:val="002D1474"/>
    <w:rsid w:val="002D2128"/>
    <w:rsid w:val="002D3FB1"/>
    <w:rsid w:val="002D5403"/>
    <w:rsid w:val="002D5C10"/>
    <w:rsid w:val="002E10E6"/>
    <w:rsid w:val="002E1779"/>
    <w:rsid w:val="002F0A5B"/>
    <w:rsid w:val="002F6806"/>
    <w:rsid w:val="002F720E"/>
    <w:rsid w:val="003018FE"/>
    <w:rsid w:val="0030367E"/>
    <w:rsid w:val="0030521D"/>
    <w:rsid w:val="0030698C"/>
    <w:rsid w:val="00311391"/>
    <w:rsid w:val="00311DD4"/>
    <w:rsid w:val="00311FC9"/>
    <w:rsid w:val="00312658"/>
    <w:rsid w:val="0031389C"/>
    <w:rsid w:val="00317CDB"/>
    <w:rsid w:val="00320415"/>
    <w:rsid w:val="003218F2"/>
    <w:rsid w:val="00327975"/>
    <w:rsid w:val="0033103A"/>
    <w:rsid w:val="00332EA7"/>
    <w:rsid w:val="00333C12"/>
    <w:rsid w:val="003362A5"/>
    <w:rsid w:val="00342795"/>
    <w:rsid w:val="00342B6D"/>
    <w:rsid w:val="0034641C"/>
    <w:rsid w:val="0034658E"/>
    <w:rsid w:val="0034782C"/>
    <w:rsid w:val="00351AE6"/>
    <w:rsid w:val="00353A76"/>
    <w:rsid w:val="0035411D"/>
    <w:rsid w:val="00355C97"/>
    <w:rsid w:val="00355D75"/>
    <w:rsid w:val="00356B54"/>
    <w:rsid w:val="00357409"/>
    <w:rsid w:val="00360EDC"/>
    <w:rsid w:val="0036203D"/>
    <w:rsid w:val="00364323"/>
    <w:rsid w:val="00364B9F"/>
    <w:rsid w:val="003708CF"/>
    <w:rsid w:val="00370D6A"/>
    <w:rsid w:val="0037245F"/>
    <w:rsid w:val="00372D5C"/>
    <w:rsid w:val="00375FEC"/>
    <w:rsid w:val="00376E4A"/>
    <w:rsid w:val="003772AD"/>
    <w:rsid w:val="003800E3"/>
    <w:rsid w:val="0038104E"/>
    <w:rsid w:val="00383631"/>
    <w:rsid w:val="0038492E"/>
    <w:rsid w:val="00387D34"/>
    <w:rsid w:val="00394A85"/>
    <w:rsid w:val="00395008"/>
    <w:rsid w:val="00397C0C"/>
    <w:rsid w:val="003A3F14"/>
    <w:rsid w:val="003A454C"/>
    <w:rsid w:val="003A59BF"/>
    <w:rsid w:val="003A6B6A"/>
    <w:rsid w:val="003B0C2D"/>
    <w:rsid w:val="003B13EF"/>
    <w:rsid w:val="003B19AC"/>
    <w:rsid w:val="003B306A"/>
    <w:rsid w:val="003B5036"/>
    <w:rsid w:val="003B5742"/>
    <w:rsid w:val="003B7B6A"/>
    <w:rsid w:val="003C35FE"/>
    <w:rsid w:val="003C421E"/>
    <w:rsid w:val="003C4B82"/>
    <w:rsid w:val="003C6B6E"/>
    <w:rsid w:val="003C7E0F"/>
    <w:rsid w:val="003D18CC"/>
    <w:rsid w:val="003D1CA4"/>
    <w:rsid w:val="003D476C"/>
    <w:rsid w:val="003D7D6C"/>
    <w:rsid w:val="003E2B0A"/>
    <w:rsid w:val="003E2C96"/>
    <w:rsid w:val="003E4807"/>
    <w:rsid w:val="003F18B7"/>
    <w:rsid w:val="003F6034"/>
    <w:rsid w:val="003F757B"/>
    <w:rsid w:val="003F783A"/>
    <w:rsid w:val="00404D4F"/>
    <w:rsid w:val="00411C31"/>
    <w:rsid w:val="00414154"/>
    <w:rsid w:val="00414898"/>
    <w:rsid w:val="00416133"/>
    <w:rsid w:val="0042215E"/>
    <w:rsid w:val="004257C4"/>
    <w:rsid w:val="00426490"/>
    <w:rsid w:val="00430815"/>
    <w:rsid w:val="0043191B"/>
    <w:rsid w:val="00431B11"/>
    <w:rsid w:val="004324BF"/>
    <w:rsid w:val="00432B02"/>
    <w:rsid w:val="00441311"/>
    <w:rsid w:val="0044180C"/>
    <w:rsid w:val="0044355E"/>
    <w:rsid w:val="00443795"/>
    <w:rsid w:val="00446D81"/>
    <w:rsid w:val="004507A8"/>
    <w:rsid w:val="00450A2E"/>
    <w:rsid w:val="004511E1"/>
    <w:rsid w:val="00451441"/>
    <w:rsid w:val="00452718"/>
    <w:rsid w:val="00454946"/>
    <w:rsid w:val="00456A6A"/>
    <w:rsid w:val="00456F91"/>
    <w:rsid w:val="004570DD"/>
    <w:rsid w:val="00460941"/>
    <w:rsid w:val="004619C3"/>
    <w:rsid w:val="00461A39"/>
    <w:rsid w:val="00462428"/>
    <w:rsid w:val="00464420"/>
    <w:rsid w:val="00464FF0"/>
    <w:rsid w:val="00465045"/>
    <w:rsid w:val="00465B0B"/>
    <w:rsid w:val="00467E95"/>
    <w:rsid w:val="0047141B"/>
    <w:rsid w:val="00472925"/>
    <w:rsid w:val="00474343"/>
    <w:rsid w:val="00475251"/>
    <w:rsid w:val="00480161"/>
    <w:rsid w:val="004859DD"/>
    <w:rsid w:val="00490361"/>
    <w:rsid w:val="00490DF7"/>
    <w:rsid w:val="0049214C"/>
    <w:rsid w:val="00492746"/>
    <w:rsid w:val="00495486"/>
    <w:rsid w:val="00495F8A"/>
    <w:rsid w:val="00496C08"/>
    <w:rsid w:val="004A2B3C"/>
    <w:rsid w:val="004A37C2"/>
    <w:rsid w:val="004A3963"/>
    <w:rsid w:val="004A5D86"/>
    <w:rsid w:val="004A753E"/>
    <w:rsid w:val="004B05C1"/>
    <w:rsid w:val="004B0EE4"/>
    <w:rsid w:val="004B137B"/>
    <w:rsid w:val="004B2DE2"/>
    <w:rsid w:val="004B5B21"/>
    <w:rsid w:val="004B7615"/>
    <w:rsid w:val="004C1853"/>
    <w:rsid w:val="004C24B9"/>
    <w:rsid w:val="004C2E2C"/>
    <w:rsid w:val="004C3184"/>
    <w:rsid w:val="004C59A9"/>
    <w:rsid w:val="004D051C"/>
    <w:rsid w:val="004D29D4"/>
    <w:rsid w:val="004D557A"/>
    <w:rsid w:val="004E25E6"/>
    <w:rsid w:val="004E3EFA"/>
    <w:rsid w:val="004E3F39"/>
    <w:rsid w:val="004E4F06"/>
    <w:rsid w:val="004F03BC"/>
    <w:rsid w:val="004F06E9"/>
    <w:rsid w:val="004F33B7"/>
    <w:rsid w:val="004F5F87"/>
    <w:rsid w:val="005009E5"/>
    <w:rsid w:val="00500DF6"/>
    <w:rsid w:val="005010E7"/>
    <w:rsid w:val="005010E8"/>
    <w:rsid w:val="005025EF"/>
    <w:rsid w:val="00503BC8"/>
    <w:rsid w:val="00505116"/>
    <w:rsid w:val="00505ACC"/>
    <w:rsid w:val="00517952"/>
    <w:rsid w:val="0052324E"/>
    <w:rsid w:val="0052606E"/>
    <w:rsid w:val="0053036C"/>
    <w:rsid w:val="00532F62"/>
    <w:rsid w:val="00533F6A"/>
    <w:rsid w:val="0053426F"/>
    <w:rsid w:val="00534AEA"/>
    <w:rsid w:val="005376C0"/>
    <w:rsid w:val="00546188"/>
    <w:rsid w:val="0054776E"/>
    <w:rsid w:val="00547D25"/>
    <w:rsid w:val="00547ECE"/>
    <w:rsid w:val="00551E8F"/>
    <w:rsid w:val="0055412C"/>
    <w:rsid w:val="00557526"/>
    <w:rsid w:val="005601E6"/>
    <w:rsid w:val="00565311"/>
    <w:rsid w:val="00566A77"/>
    <w:rsid w:val="005759DC"/>
    <w:rsid w:val="00576919"/>
    <w:rsid w:val="00576CC4"/>
    <w:rsid w:val="005778A9"/>
    <w:rsid w:val="0057797F"/>
    <w:rsid w:val="0058102C"/>
    <w:rsid w:val="00582013"/>
    <w:rsid w:val="005820B4"/>
    <w:rsid w:val="005828D0"/>
    <w:rsid w:val="00583A4B"/>
    <w:rsid w:val="00584B11"/>
    <w:rsid w:val="00585AD1"/>
    <w:rsid w:val="00587721"/>
    <w:rsid w:val="005915B6"/>
    <w:rsid w:val="00591ED3"/>
    <w:rsid w:val="0059375D"/>
    <w:rsid w:val="005939BB"/>
    <w:rsid w:val="005A1ADE"/>
    <w:rsid w:val="005A59DB"/>
    <w:rsid w:val="005A790A"/>
    <w:rsid w:val="005B049F"/>
    <w:rsid w:val="005B0B45"/>
    <w:rsid w:val="005B0C04"/>
    <w:rsid w:val="005B2CDF"/>
    <w:rsid w:val="005B77F4"/>
    <w:rsid w:val="005C4080"/>
    <w:rsid w:val="005D02ED"/>
    <w:rsid w:val="005D0C4A"/>
    <w:rsid w:val="005D4B1D"/>
    <w:rsid w:val="005D533F"/>
    <w:rsid w:val="005D6741"/>
    <w:rsid w:val="005D6CF2"/>
    <w:rsid w:val="005E121B"/>
    <w:rsid w:val="005E1D7F"/>
    <w:rsid w:val="005E2BF6"/>
    <w:rsid w:val="005E6EBE"/>
    <w:rsid w:val="005E6EE9"/>
    <w:rsid w:val="005E778E"/>
    <w:rsid w:val="005F02FE"/>
    <w:rsid w:val="005F1B88"/>
    <w:rsid w:val="005F4DF4"/>
    <w:rsid w:val="005F5782"/>
    <w:rsid w:val="005F6825"/>
    <w:rsid w:val="00600D44"/>
    <w:rsid w:val="006014CD"/>
    <w:rsid w:val="006054DF"/>
    <w:rsid w:val="0060596A"/>
    <w:rsid w:val="006133DE"/>
    <w:rsid w:val="00617E7E"/>
    <w:rsid w:val="00620CF0"/>
    <w:rsid w:val="00622F2B"/>
    <w:rsid w:val="00630F1E"/>
    <w:rsid w:val="00632257"/>
    <w:rsid w:val="00634991"/>
    <w:rsid w:val="006419BF"/>
    <w:rsid w:val="006468B4"/>
    <w:rsid w:val="00646A27"/>
    <w:rsid w:val="00646F02"/>
    <w:rsid w:val="006479BD"/>
    <w:rsid w:val="0065604A"/>
    <w:rsid w:val="00656EBA"/>
    <w:rsid w:val="00656F6E"/>
    <w:rsid w:val="00662405"/>
    <w:rsid w:val="0066383F"/>
    <w:rsid w:val="00665706"/>
    <w:rsid w:val="0067082E"/>
    <w:rsid w:val="00673F55"/>
    <w:rsid w:val="00677B28"/>
    <w:rsid w:val="0068168E"/>
    <w:rsid w:val="00681D9B"/>
    <w:rsid w:val="00682CDF"/>
    <w:rsid w:val="00682DCC"/>
    <w:rsid w:val="00686254"/>
    <w:rsid w:val="00686AD7"/>
    <w:rsid w:val="00695D2F"/>
    <w:rsid w:val="006973F8"/>
    <w:rsid w:val="006A10B2"/>
    <w:rsid w:val="006A43C7"/>
    <w:rsid w:val="006A7D1C"/>
    <w:rsid w:val="006B1664"/>
    <w:rsid w:val="006B37BA"/>
    <w:rsid w:val="006B3F82"/>
    <w:rsid w:val="006C1E02"/>
    <w:rsid w:val="006C3571"/>
    <w:rsid w:val="006C6E2A"/>
    <w:rsid w:val="006C6EB4"/>
    <w:rsid w:val="006C76BE"/>
    <w:rsid w:val="006D1A0E"/>
    <w:rsid w:val="006D1CEF"/>
    <w:rsid w:val="006D3616"/>
    <w:rsid w:val="006D4594"/>
    <w:rsid w:val="006E1421"/>
    <w:rsid w:val="006E1E1F"/>
    <w:rsid w:val="006E5761"/>
    <w:rsid w:val="006E7053"/>
    <w:rsid w:val="006E7532"/>
    <w:rsid w:val="006F0FF3"/>
    <w:rsid w:val="006F1A23"/>
    <w:rsid w:val="006F2E0A"/>
    <w:rsid w:val="006F56E8"/>
    <w:rsid w:val="006F6320"/>
    <w:rsid w:val="006F713F"/>
    <w:rsid w:val="00705754"/>
    <w:rsid w:val="00713867"/>
    <w:rsid w:val="00716A92"/>
    <w:rsid w:val="00717637"/>
    <w:rsid w:val="007221C3"/>
    <w:rsid w:val="007307BE"/>
    <w:rsid w:val="0073149B"/>
    <w:rsid w:val="007322F9"/>
    <w:rsid w:val="007334BA"/>
    <w:rsid w:val="007341C2"/>
    <w:rsid w:val="00736216"/>
    <w:rsid w:val="00743410"/>
    <w:rsid w:val="007456B5"/>
    <w:rsid w:val="00746028"/>
    <w:rsid w:val="00746ADE"/>
    <w:rsid w:val="007506DE"/>
    <w:rsid w:val="00750D4F"/>
    <w:rsid w:val="00750E99"/>
    <w:rsid w:val="00751219"/>
    <w:rsid w:val="007513DA"/>
    <w:rsid w:val="00752F65"/>
    <w:rsid w:val="007531E5"/>
    <w:rsid w:val="00753E13"/>
    <w:rsid w:val="00754527"/>
    <w:rsid w:val="00756C3B"/>
    <w:rsid w:val="00763478"/>
    <w:rsid w:val="007645F1"/>
    <w:rsid w:val="00776BFA"/>
    <w:rsid w:val="007808C0"/>
    <w:rsid w:val="007829B9"/>
    <w:rsid w:val="00785105"/>
    <w:rsid w:val="00785A64"/>
    <w:rsid w:val="007934E8"/>
    <w:rsid w:val="007974A3"/>
    <w:rsid w:val="007A1B6E"/>
    <w:rsid w:val="007A26D7"/>
    <w:rsid w:val="007A532E"/>
    <w:rsid w:val="007B2623"/>
    <w:rsid w:val="007B2FCF"/>
    <w:rsid w:val="007B4685"/>
    <w:rsid w:val="007B4AC8"/>
    <w:rsid w:val="007B4C47"/>
    <w:rsid w:val="007B6406"/>
    <w:rsid w:val="007B6D49"/>
    <w:rsid w:val="007C091F"/>
    <w:rsid w:val="007C338E"/>
    <w:rsid w:val="007C35BC"/>
    <w:rsid w:val="007C5221"/>
    <w:rsid w:val="007C65DF"/>
    <w:rsid w:val="007C7DF5"/>
    <w:rsid w:val="007D21AA"/>
    <w:rsid w:val="007D45AD"/>
    <w:rsid w:val="007D480D"/>
    <w:rsid w:val="007E1004"/>
    <w:rsid w:val="007E512B"/>
    <w:rsid w:val="007E514E"/>
    <w:rsid w:val="007E5D2D"/>
    <w:rsid w:val="007E701B"/>
    <w:rsid w:val="007F13A4"/>
    <w:rsid w:val="007F1947"/>
    <w:rsid w:val="007F2A4D"/>
    <w:rsid w:val="007F5D78"/>
    <w:rsid w:val="007F5EE1"/>
    <w:rsid w:val="00801570"/>
    <w:rsid w:val="00803632"/>
    <w:rsid w:val="00803FB9"/>
    <w:rsid w:val="00804C75"/>
    <w:rsid w:val="00810252"/>
    <w:rsid w:val="008105C5"/>
    <w:rsid w:val="0081210E"/>
    <w:rsid w:val="00813820"/>
    <w:rsid w:val="00813A51"/>
    <w:rsid w:val="00813AC0"/>
    <w:rsid w:val="0081648A"/>
    <w:rsid w:val="00817F9A"/>
    <w:rsid w:val="00820401"/>
    <w:rsid w:val="008230A4"/>
    <w:rsid w:val="00825FB1"/>
    <w:rsid w:val="00826B05"/>
    <w:rsid w:val="00826D18"/>
    <w:rsid w:val="008343C6"/>
    <w:rsid w:val="00835152"/>
    <w:rsid w:val="00842A8C"/>
    <w:rsid w:val="00845563"/>
    <w:rsid w:val="00850415"/>
    <w:rsid w:val="00850A10"/>
    <w:rsid w:val="008521BB"/>
    <w:rsid w:val="0085355C"/>
    <w:rsid w:val="00853F71"/>
    <w:rsid w:val="00855848"/>
    <w:rsid w:val="00855BED"/>
    <w:rsid w:val="00855CA0"/>
    <w:rsid w:val="00855DEB"/>
    <w:rsid w:val="008627F9"/>
    <w:rsid w:val="00862DB6"/>
    <w:rsid w:val="00863766"/>
    <w:rsid w:val="00863F31"/>
    <w:rsid w:val="00864FEF"/>
    <w:rsid w:val="008707BE"/>
    <w:rsid w:val="00872666"/>
    <w:rsid w:val="008729C2"/>
    <w:rsid w:val="008739C9"/>
    <w:rsid w:val="008748E0"/>
    <w:rsid w:val="00875B5B"/>
    <w:rsid w:val="00875C8C"/>
    <w:rsid w:val="00875DEA"/>
    <w:rsid w:val="00876B28"/>
    <w:rsid w:val="008775F2"/>
    <w:rsid w:val="00881751"/>
    <w:rsid w:val="00890319"/>
    <w:rsid w:val="008906FC"/>
    <w:rsid w:val="00892054"/>
    <w:rsid w:val="00892165"/>
    <w:rsid w:val="00892E04"/>
    <w:rsid w:val="00894942"/>
    <w:rsid w:val="00895137"/>
    <w:rsid w:val="00895AC0"/>
    <w:rsid w:val="008A0D23"/>
    <w:rsid w:val="008A510F"/>
    <w:rsid w:val="008A7E9C"/>
    <w:rsid w:val="008B08FB"/>
    <w:rsid w:val="008B1B1A"/>
    <w:rsid w:val="008B3C4C"/>
    <w:rsid w:val="008B3FDC"/>
    <w:rsid w:val="008B4B0C"/>
    <w:rsid w:val="008C38F2"/>
    <w:rsid w:val="008C3DC8"/>
    <w:rsid w:val="008D21A4"/>
    <w:rsid w:val="008D4791"/>
    <w:rsid w:val="008D4A13"/>
    <w:rsid w:val="008D6FFD"/>
    <w:rsid w:val="008E0156"/>
    <w:rsid w:val="008E0758"/>
    <w:rsid w:val="008E34F4"/>
    <w:rsid w:val="008E578C"/>
    <w:rsid w:val="008E58A5"/>
    <w:rsid w:val="008F0D57"/>
    <w:rsid w:val="008F326A"/>
    <w:rsid w:val="008F4DDF"/>
    <w:rsid w:val="008F59F6"/>
    <w:rsid w:val="008F783A"/>
    <w:rsid w:val="008F7FB0"/>
    <w:rsid w:val="00900A94"/>
    <w:rsid w:val="00901D25"/>
    <w:rsid w:val="009021BB"/>
    <w:rsid w:val="00904312"/>
    <w:rsid w:val="00905E2B"/>
    <w:rsid w:val="009109FE"/>
    <w:rsid w:val="00913623"/>
    <w:rsid w:val="00914430"/>
    <w:rsid w:val="00915093"/>
    <w:rsid w:val="0092053E"/>
    <w:rsid w:val="009216E8"/>
    <w:rsid w:val="0092221E"/>
    <w:rsid w:val="00924CA8"/>
    <w:rsid w:val="00926A2D"/>
    <w:rsid w:val="009307AD"/>
    <w:rsid w:val="009316FF"/>
    <w:rsid w:val="00932926"/>
    <w:rsid w:val="009331FB"/>
    <w:rsid w:val="00936601"/>
    <w:rsid w:val="00936DD4"/>
    <w:rsid w:val="00936F50"/>
    <w:rsid w:val="009410AF"/>
    <w:rsid w:val="00941374"/>
    <w:rsid w:val="00943DA8"/>
    <w:rsid w:val="00943EE2"/>
    <w:rsid w:val="009451D1"/>
    <w:rsid w:val="0094568C"/>
    <w:rsid w:val="009477A4"/>
    <w:rsid w:val="00947852"/>
    <w:rsid w:val="00947BBB"/>
    <w:rsid w:val="0095172B"/>
    <w:rsid w:val="00952DDC"/>
    <w:rsid w:val="009539AC"/>
    <w:rsid w:val="00956A0E"/>
    <w:rsid w:val="00960A6B"/>
    <w:rsid w:val="00960D84"/>
    <w:rsid w:val="009618DD"/>
    <w:rsid w:val="009660C6"/>
    <w:rsid w:val="00966CF4"/>
    <w:rsid w:val="00970750"/>
    <w:rsid w:val="00970B16"/>
    <w:rsid w:val="009753DC"/>
    <w:rsid w:val="00980337"/>
    <w:rsid w:val="00980552"/>
    <w:rsid w:val="009809D0"/>
    <w:rsid w:val="00980E10"/>
    <w:rsid w:val="009823DE"/>
    <w:rsid w:val="00986123"/>
    <w:rsid w:val="0098636A"/>
    <w:rsid w:val="00986C1E"/>
    <w:rsid w:val="009912B4"/>
    <w:rsid w:val="00995C03"/>
    <w:rsid w:val="009A09F0"/>
    <w:rsid w:val="009A4A9E"/>
    <w:rsid w:val="009A7B86"/>
    <w:rsid w:val="009B369A"/>
    <w:rsid w:val="009B3AF2"/>
    <w:rsid w:val="009B4784"/>
    <w:rsid w:val="009B6A2C"/>
    <w:rsid w:val="009B6A6F"/>
    <w:rsid w:val="009C0556"/>
    <w:rsid w:val="009C2FEB"/>
    <w:rsid w:val="009C6558"/>
    <w:rsid w:val="009C7DD6"/>
    <w:rsid w:val="009C7F79"/>
    <w:rsid w:val="009D5F9B"/>
    <w:rsid w:val="009E0D57"/>
    <w:rsid w:val="009E23D7"/>
    <w:rsid w:val="009E39D1"/>
    <w:rsid w:val="009E3E4D"/>
    <w:rsid w:val="009F05DB"/>
    <w:rsid w:val="009F308E"/>
    <w:rsid w:val="009F33A4"/>
    <w:rsid w:val="009F4A12"/>
    <w:rsid w:val="009F4DF9"/>
    <w:rsid w:val="009F571B"/>
    <w:rsid w:val="00A002C2"/>
    <w:rsid w:val="00A0102E"/>
    <w:rsid w:val="00A010EB"/>
    <w:rsid w:val="00A01763"/>
    <w:rsid w:val="00A0182C"/>
    <w:rsid w:val="00A036E8"/>
    <w:rsid w:val="00A11955"/>
    <w:rsid w:val="00A12803"/>
    <w:rsid w:val="00A16D41"/>
    <w:rsid w:val="00A217BD"/>
    <w:rsid w:val="00A21F74"/>
    <w:rsid w:val="00A2256C"/>
    <w:rsid w:val="00A233B5"/>
    <w:rsid w:val="00A24D19"/>
    <w:rsid w:val="00A256CD"/>
    <w:rsid w:val="00A26C0C"/>
    <w:rsid w:val="00A31DE4"/>
    <w:rsid w:val="00A35865"/>
    <w:rsid w:val="00A35C8A"/>
    <w:rsid w:val="00A423E0"/>
    <w:rsid w:val="00A429B4"/>
    <w:rsid w:val="00A42E93"/>
    <w:rsid w:val="00A43AD9"/>
    <w:rsid w:val="00A43DC6"/>
    <w:rsid w:val="00A4659B"/>
    <w:rsid w:val="00A50C42"/>
    <w:rsid w:val="00A52C8E"/>
    <w:rsid w:val="00A547D3"/>
    <w:rsid w:val="00A54D7F"/>
    <w:rsid w:val="00A55C35"/>
    <w:rsid w:val="00A60552"/>
    <w:rsid w:val="00A61091"/>
    <w:rsid w:val="00A65956"/>
    <w:rsid w:val="00A65A67"/>
    <w:rsid w:val="00A65B66"/>
    <w:rsid w:val="00A668D4"/>
    <w:rsid w:val="00A74C9B"/>
    <w:rsid w:val="00A759EE"/>
    <w:rsid w:val="00A7658B"/>
    <w:rsid w:val="00A7779B"/>
    <w:rsid w:val="00A82FDC"/>
    <w:rsid w:val="00A8425D"/>
    <w:rsid w:val="00A92022"/>
    <w:rsid w:val="00A92D23"/>
    <w:rsid w:val="00A93710"/>
    <w:rsid w:val="00A96141"/>
    <w:rsid w:val="00A9623B"/>
    <w:rsid w:val="00A963D0"/>
    <w:rsid w:val="00AA2F27"/>
    <w:rsid w:val="00AA4C34"/>
    <w:rsid w:val="00AB0F41"/>
    <w:rsid w:val="00AB4237"/>
    <w:rsid w:val="00AB7598"/>
    <w:rsid w:val="00AC2B25"/>
    <w:rsid w:val="00AD3B5C"/>
    <w:rsid w:val="00AE1441"/>
    <w:rsid w:val="00AE2DD8"/>
    <w:rsid w:val="00AE3C57"/>
    <w:rsid w:val="00AE5CCD"/>
    <w:rsid w:val="00AE64A4"/>
    <w:rsid w:val="00AE7F29"/>
    <w:rsid w:val="00AF2543"/>
    <w:rsid w:val="00AF41B5"/>
    <w:rsid w:val="00AF509D"/>
    <w:rsid w:val="00AF5DD7"/>
    <w:rsid w:val="00AF68F7"/>
    <w:rsid w:val="00AF7BBD"/>
    <w:rsid w:val="00B025DF"/>
    <w:rsid w:val="00B04B1B"/>
    <w:rsid w:val="00B06500"/>
    <w:rsid w:val="00B06CDE"/>
    <w:rsid w:val="00B10BC8"/>
    <w:rsid w:val="00B117BE"/>
    <w:rsid w:val="00B1307B"/>
    <w:rsid w:val="00B134DA"/>
    <w:rsid w:val="00B15FB9"/>
    <w:rsid w:val="00B174C7"/>
    <w:rsid w:val="00B26AF9"/>
    <w:rsid w:val="00B26CFD"/>
    <w:rsid w:val="00B3162B"/>
    <w:rsid w:val="00B31CA4"/>
    <w:rsid w:val="00B330BA"/>
    <w:rsid w:val="00B3435A"/>
    <w:rsid w:val="00B35249"/>
    <w:rsid w:val="00B37246"/>
    <w:rsid w:val="00B40D9B"/>
    <w:rsid w:val="00B4280E"/>
    <w:rsid w:val="00B43C0E"/>
    <w:rsid w:val="00B476E4"/>
    <w:rsid w:val="00B5136E"/>
    <w:rsid w:val="00B52887"/>
    <w:rsid w:val="00B529CA"/>
    <w:rsid w:val="00B6016B"/>
    <w:rsid w:val="00B61EC3"/>
    <w:rsid w:val="00B64A5C"/>
    <w:rsid w:val="00B64C77"/>
    <w:rsid w:val="00B66EBE"/>
    <w:rsid w:val="00B75714"/>
    <w:rsid w:val="00B77F41"/>
    <w:rsid w:val="00B80FDA"/>
    <w:rsid w:val="00B83552"/>
    <w:rsid w:val="00B83577"/>
    <w:rsid w:val="00B847A2"/>
    <w:rsid w:val="00B8502F"/>
    <w:rsid w:val="00B868F5"/>
    <w:rsid w:val="00B87DA4"/>
    <w:rsid w:val="00B904B4"/>
    <w:rsid w:val="00B905E6"/>
    <w:rsid w:val="00B9712A"/>
    <w:rsid w:val="00B97780"/>
    <w:rsid w:val="00BA103A"/>
    <w:rsid w:val="00BA32CC"/>
    <w:rsid w:val="00BA5DAB"/>
    <w:rsid w:val="00BA5ED3"/>
    <w:rsid w:val="00BA7A5D"/>
    <w:rsid w:val="00BB0903"/>
    <w:rsid w:val="00BB26BE"/>
    <w:rsid w:val="00BB4177"/>
    <w:rsid w:val="00BB4767"/>
    <w:rsid w:val="00BB6661"/>
    <w:rsid w:val="00BB7496"/>
    <w:rsid w:val="00BC327F"/>
    <w:rsid w:val="00BC468B"/>
    <w:rsid w:val="00BC5035"/>
    <w:rsid w:val="00BC6800"/>
    <w:rsid w:val="00BC6DFD"/>
    <w:rsid w:val="00BC7277"/>
    <w:rsid w:val="00BD3BFA"/>
    <w:rsid w:val="00BD3C26"/>
    <w:rsid w:val="00BD4FF2"/>
    <w:rsid w:val="00BD7778"/>
    <w:rsid w:val="00BE040F"/>
    <w:rsid w:val="00BE129A"/>
    <w:rsid w:val="00BE155B"/>
    <w:rsid w:val="00BE221F"/>
    <w:rsid w:val="00BE3000"/>
    <w:rsid w:val="00BE43A0"/>
    <w:rsid w:val="00BF402F"/>
    <w:rsid w:val="00BF62EF"/>
    <w:rsid w:val="00C03D16"/>
    <w:rsid w:val="00C06179"/>
    <w:rsid w:val="00C104B0"/>
    <w:rsid w:val="00C17BF1"/>
    <w:rsid w:val="00C23C4D"/>
    <w:rsid w:val="00C25B10"/>
    <w:rsid w:val="00C26AC3"/>
    <w:rsid w:val="00C3084F"/>
    <w:rsid w:val="00C352F5"/>
    <w:rsid w:val="00C35B14"/>
    <w:rsid w:val="00C36773"/>
    <w:rsid w:val="00C43660"/>
    <w:rsid w:val="00C43B3D"/>
    <w:rsid w:val="00C44301"/>
    <w:rsid w:val="00C44DBB"/>
    <w:rsid w:val="00C52438"/>
    <w:rsid w:val="00C604A9"/>
    <w:rsid w:val="00C60A48"/>
    <w:rsid w:val="00C60B29"/>
    <w:rsid w:val="00C618A1"/>
    <w:rsid w:val="00C6250C"/>
    <w:rsid w:val="00C625CA"/>
    <w:rsid w:val="00C64CF3"/>
    <w:rsid w:val="00C66E3B"/>
    <w:rsid w:val="00C6785E"/>
    <w:rsid w:val="00C67FBF"/>
    <w:rsid w:val="00C70EB1"/>
    <w:rsid w:val="00C7297E"/>
    <w:rsid w:val="00C80B6E"/>
    <w:rsid w:val="00C80CBA"/>
    <w:rsid w:val="00C81620"/>
    <w:rsid w:val="00C82F65"/>
    <w:rsid w:val="00C8497E"/>
    <w:rsid w:val="00C8514A"/>
    <w:rsid w:val="00C8588C"/>
    <w:rsid w:val="00C869DC"/>
    <w:rsid w:val="00C86C72"/>
    <w:rsid w:val="00C9032B"/>
    <w:rsid w:val="00C94120"/>
    <w:rsid w:val="00C962A8"/>
    <w:rsid w:val="00CA3A07"/>
    <w:rsid w:val="00CA4DBD"/>
    <w:rsid w:val="00CA51F2"/>
    <w:rsid w:val="00CB3839"/>
    <w:rsid w:val="00CB4384"/>
    <w:rsid w:val="00CB7D9B"/>
    <w:rsid w:val="00CC0F2E"/>
    <w:rsid w:val="00CC2C67"/>
    <w:rsid w:val="00CC2EBC"/>
    <w:rsid w:val="00CC5EE1"/>
    <w:rsid w:val="00CD3375"/>
    <w:rsid w:val="00CD438F"/>
    <w:rsid w:val="00CE54F3"/>
    <w:rsid w:val="00CE5C68"/>
    <w:rsid w:val="00CE627A"/>
    <w:rsid w:val="00CE7654"/>
    <w:rsid w:val="00CF152A"/>
    <w:rsid w:val="00CF233B"/>
    <w:rsid w:val="00CF53D7"/>
    <w:rsid w:val="00D0050B"/>
    <w:rsid w:val="00D014B5"/>
    <w:rsid w:val="00D03BEB"/>
    <w:rsid w:val="00D04C18"/>
    <w:rsid w:val="00D05FB7"/>
    <w:rsid w:val="00D06577"/>
    <w:rsid w:val="00D10B5F"/>
    <w:rsid w:val="00D123E8"/>
    <w:rsid w:val="00D1668E"/>
    <w:rsid w:val="00D17434"/>
    <w:rsid w:val="00D17A2C"/>
    <w:rsid w:val="00D20AB1"/>
    <w:rsid w:val="00D23603"/>
    <w:rsid w:val="00D24A43"/>
    <w:rsid w:val="00D267FC"/>
    <w:rsid w:val="00D26A5A"/>
    <w:rsid w:val="00D26DC4"/>
    <w:rsid w:val="00D27ADB"/>
    <w:rsid w:val="00D303DB"/>
    <w:rsid w:val="00D30FCF"/>
    <w:rsid w:val="00D345BE"/>
    <w:rsid w:val="00D34B2F"/>
    <w:rsid w:val="00D443CD"/>
    <w:rsid w:val="00D44ADF"/>
    <w:rsid w:val="00D5156D"/>
    <w:rsid w:val="00D52224"/>
    <w:rsid w:val="00D527DE"/>
    <w:rsid w:val="00D533AA"/>
    <w:rsid w:val="00D5460F"/>
    <w:rsid w:val="00D54C9B"/>
    <w:rsid w:val="00D56E2E"/>
    <w:rsid w:val="00D57497"/>
    <w:rsid w:val="00D60703"/>
    <w:rsid w:val="00D61C24"/>
    <w:rsid w:val="00D62E52"/>
    <w:rsid w:val="00D66ED0"/>
    <w:rsid w:val="00D67474"/>
    <w:rsid w:val="00D7659A"/>
    <w:rsid w:val="00D76DEB"/>
    <w:rsid w:val="00D83766"/>
    <w:rsid w:val="00D8744A"/>
    <w:rsid w:val="00D87BA3"/>
    <w:rsid w:val="00D90335"/>
    <w:rsid w:val="00D90D04"/>
    <w:rsid w:val="00D91945"/>
    <w:rsid w:val="00D928DB"/>
    <w:rsid w:val="00D94F5D"/>
    <w:rsid w:val="00DA0DD9"/>
    <w:rsid w:val="00DA2EBD"/>
    <w:rsid w:val="00DA36A4"/>
    <w:rsid w:val="00DA5CA3"/>
    <w:rsid w:val="00DB22BF"/>
    <w:rsid w:val="00DB6EFB"/>
    <w:rsid w:val="00DC73D1"/>
    <w:rsid w:val="00DD0D08"/>
    <w:rsid w:val="00DD0DC5"/>
    <w:rsid w:val="00DD6A52"/>
    <w:rsid w:val="00DE4206"/>
    <w:rsid w:val="00DE4266"/>
    <w:rsid w:val="00DE457D"/>
    <w:rsid w:val="00DF206A"/>
    <w:rsid w:val="00DF265B"/>
    <w:rsid w:val="00DF327F"/>
    <w:rsid w:val="00DF52F4"/>
    <w:rsid w:val="00E016AF"/>
    <w:rsid w:val="00E02413"/>
    <w:rsid w:val="00E11509"/>
    <w:rsid w:val="00E13C7E"/>
    <w:rsid w:val="00E15894"/>
    <w:rsid w:val="00E15B4B"/>
    <w:rsid w:val="00E1630F"/>
    <w:rsid w:val="00E16D04"/>
    <w:rsid w:val="00E16F51"/>
    <w:rsid w:val="00E17108"/>
    <w:rsid w:val="00E2435C"/>
    <w:rsid w:val="00E3016A"/>
    <w:rsid w:val="00E3075F"/>
    <w:rsid w:val="00E326CB"/>
    <w:rsid w:val="00E33668"/>
    <w:rsid w:val="00E34DB5"/>
    <w:rsid w:val="00E4076E"/>
    <w:rsid w:val="00E40F63"/>
    <w:rsid w:val="00E45711"/>
    <w:rsid w:val="00E45ABC"/>
    <w:rsid w:val="00E45BA0"/>
    <w:rsid w:val="00E501F0"/>
    <w:rsid w:val="00E5656A"/>
    <w:rsid w:val="00E567C4"/>
    <w:rsid w:val="00E57076"/>
    <w:rsid w:val="00E57C4B"/>
    <w:rsid w:val="00E608E1"/>
    <w:rsid w:val="00E62D95"/>
    <w:rsid w:val="00E64114"/>
    <w:rsid w:val="00E64A84"/>
    <w:rsid w:val="00E656C5"/>
    <w:rsid w:val="00E7144F"/>
    <w:rsid w:val="00E73658"/>
    <w:rsid w:val="00E73A68"/>
    <w:rsid w:val="00E74646"/>
    <w:rsid w:val="00E76C72"/>
    <w:rsid w:val="00E8027C"/>
    <w:rsid w:val="00E80800"/>
    <w:rsid w:val="00E80AC1"/>
    <w:rsid w:val="00E83083"/>
    <w:rsid w:val="00E863B6"/>
    <w:rsid w:val="00E874F6"/>
    <w:rsid w:val="00E8759D"/>
    <w:rsid w:val="00E97175"/>
    <w:rsid w:val="00E97663"/>
    <w:rsid w:val="00EA06C1"/>
    <w:rsid w:val="00EA2240"/>
    <w:rsid w:val="00EA2B05"/>
    <w:rsid w:val="00EB0965"/>
    <w:rsid w:val="00EB22E1"/>
    <w:rsid w:val="00EB469D"/>
    <w:rsid w:val="00EB60D5"/>
    <w:rsid w:val="00EB6DED"/>
    <w:rsid w:val="00EC107A"/>
    <w:rsid w:val="00EC6B62"/>
    <w:rsid w:val="00ED0F16"/>
    <w:rsid w:val="00ED4431"/>
    <w:rsid w:val="00ED5760"/>
    <w:rsid w:val="00ED7C98"/>
    <w:rsid w:val="00EE081C"/>
    <w:rsid w:val="00EE245A"/>
    <w:rsid w:val="00EE410D"/>
    <w:rsid w:val="00EE7297"/>
    <w:rsid w:val="00EF1419"/>
    <w:rsid w:val="00EF3282"/>
    <w:rsid w:val="00F03AB8"/>
    <w:rsid w:val="00F03C57"/>
    <w:rsid w:val="00F044AD"/>
    <w:rsid w:val="00F04F91"/>
    <w:rsid w:val="00F066B4"/>
    <w:rsid w:val="00F15737"/>
    <w:rsid w:val="00F16C1F"/>
    <w:rsid w:val="00F23E51"/>
    <w:rsid w:val="00F251C0"/>
    <w:rsid w:val="00F26165"/>
    <w:rsid w:val="00F27DCA"/>
    <w:rsid w:val="00F30B8C"/>
    <w:rsid w:val="00F32125"/>
    <w:rsid w:val="00F37DC3"/>
    <w:rsid w:val="00F40464"/>
    <w:rsid w:val="00F42178"/>
    <w:rsid w:val="00F4328E"/>
    <w:rsid w:val="00F4527A"/>
    <w:rsid w:val="00F4632E"/>
    <w:rsid w:val="00F46706"/>
    <w:rsid w:val="00F5433B"/>
    <w:rsid w:val="00F55224"/>
    <w:rsid w:val="00F6128C"/>
    <w:rsid w:val="00F61AF5"/>
    <w:rsid w:val="00F62AE3"/>
    <w:rsid w:val="00F64AA2"/>
    <w:rsid w:val="00F72780"/>
    <w:rsid w:val="00F8019E"/>
    <w:rsid w:val="00F8654E"/>
    <w:rsid w:val="00F87FCC"/>
    <w:rsid w:val="00F908DD"/>
    <w:rsid w:val="00F9245A"/>
    <w:rsid w:val="00F92478"/>
    <w:rsid w:val="00F92E7F"/>
    <w:rsid w:val="00F96451"/>
    <w:rsid w:val="00FA1680"/>
    <w:rsid w:val="00FA6446"/>
    <w:rsid w:val="00FA79EF"/>
    <w:rsid w:val="00FB6E3C"/>
    <w:rsid w:val="00FB7587"/>
    <w:rsid w:val="00FB7DC0"/>
    <w:rsid w:val="00FD06C1"/>
    <w:rsid w:val="00FD5208"/>
    <w:rsid w:val="00FD798E"/>
    <w:rsid w:val="00FE23FD"/>
    <w:rsid w:val="00FE48F9"/>
    <w:rsid w:val="00FE50D9"/>
    <w:rsid w:val="00FE67F2"/>
    <w:rsid w:val="00FF1420"/>
    <w:rsid w:val="00FF220D"/>
    <w:rsid w:val="00FF366F"/>
    <w:rsid w:val="00FF448B"/>
    <w:rsid w:val="00FF4722"/>
    <w:rsid w:val="00FF5DD3"/>
    <w:rsid w:val="00FF6281"/>
    <w:rsid w:val="00FF6F3C"/>
    <w:rsid w:val="012E02A0"/>
    <w:rsid w:val="03231F84"/>
    <w:rsid w:val="033B0121"/>
    <w:rsid w:val="06890654"/>
    <w:rsid w:val="086A7359"/>
    <w:rsid w:val="09FB0191"/>
    <w:rsid w:val="0CBB18F0"/>
    <w:rsid w:val="0D74394C"/>
    <w:rsid w:val="0F042499"/>
    <w:rsid w:val="10C300B4"/>
    <w:rsid w:val="10CA1857"/>
    <w:rsid w:val="11EE296E"/>
    <w:rsid w:val="13ED4169"/>
    <w:rsid w:val="16AB5C30"/>
    <w:rsid w:val="16FA607A"/>
    <w:rsid w:val="18B078C3"/>
    <w:rsid w:val="199D1184"/>
    <w:rsid w:val="1E346C71"/>
    <w:rsid w:val="238D59F0"/>
    <w:rsid w:val="248546A8"/>
    <w:rsid w:val="248F342E"/>
    <w:rsid w:val="25E21855"/>
    <w:rsid w:val="26881612"/>
    <w:rsid w:val="27CF4F91"/>
    <w:rsid w:val="2B22042C"/>
    <w:rsid w:val="2ED13EF4"/>
    <w:rsid w:val="2F3E3AEF"/>
    <w:rsid w:val="30424285"/>
    <w:rsid w:val="349016F0"/>
    <w:rsid w:val="3574375C"/>
    <w:rsid w:val="367871F0"/>
    <w:rsid w:val="38887094"/>
    <w:rsid w:val="3AB40A9B"/>
    <w:rsid w:val="40175C35"/>
    <w:rsid w:val="42011039"/>
    <w:rsid w:val="42A5586B"/>
    <w:rsid w:val="42BB2042"/>
    <w:rsid w:val="43951098"/>
    <w:rsid w:val="43B06CA3"/>
    <w:rsid w:val="456D62FD"/>
    <w:rsid w:val="50461166"/>
    <w:rsid w:val="53D53D07"/>
    <w:rsid w:val="56670413"/>
    <w:rsid w:val="56921EB1"/>
    <w:rsid w:val="59416F71"/>
    <w:rsid w:val="5D08548A"/>
    <w:rsid w:val="622D6DBE"/>
    <w:rsid w:val="62E032CE"/>
    <w:rsid w:val="63495C51"/>
    <w:rsid w:val="63804B5F"/>
    <w:rsid w:val="64680FB0"/>
    <w:rsid w:val="6504373D"/>
    <w:rsid w:val="662F62DD"/>
    <w:rsid w:val="67B718DA"/>
    <w:rsid w:val="68937FA0"/>
    <w:rsid w:val="68A82CBE"/>
    <w:rsid w:val="693D2AF9"/>
    <w:rsid w:val="69C009B4"/>
    <w:rsid w:val="6AD83D70"/>
    <w:rsid w:val="6B1A715D"/>
    <w:rsid w:val="6C187DF3"/>
    <w:rsid w:val="6F3C06EE"/>
    <w:rsid w:val="6F9532DA"/>
    <w:rsid w:val="6F9E250D"/>
    <w:rsid w:val="721827F5"/>
    <w:rsid w:val="77522F78"/>
    <w:rsid w:val="7CE6480C"/>
    <w:rsid w:val="7D1A7633"/>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semiHidden="0"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qFormat="1" w:uiPriority="99" w:semiHidden="0"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qFormat="1"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qFormat="1"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nhideWhenUsed="0" w:uiPriority="99" w:semiHidden="0" w:name="Table Subtle 1"/>
    <w:lsdException w:uiPriority="99" w:name="Table Subtle 2"/>
    <w:lsdException w:uiPriority="99" w:name="Table Web 1"/>
    <w:lsdException w:unhideWhenUsed="0" w:uiPriority="99" w:semiHidden="0" w:name="Table Web 2"/>
    <w:lsdException w:unhideWhenUsed="0" w:uiPriority="99" w:semiHidden="0" w:name="Table Web 3"/>
    <w:lsdException w:qFormat="1" w:uiPriority="99" w:name="Balloon Text"/>
    <w:lsdException w:qFormat="1"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2">
    <w:name w:val="heading 1"/>
    <w:basedOn w:val="1"/>
    <w:next w:val="1"/>
    <w:link w:val="25"/>
    <w:qFormat/>
    <w:uiPriority w:val="9"/>
    <w:pPr>
      <w:keepNext/>
      <w:keepLines/>
      <w:spacing w:before="340" w:after="330" w:line="578" w:lineRule="auto"/>
      <w:outlineLvl w:val="0"/>
    </w:pPr>
    <w:rPr>
      <w:b/>
      <w:bCs/>
      <w:kern w:val="44"/>
      <w:sz w:val="44"/>
      <w:szCs w:val="44"/>
    </w:rPr>
  </w:style>
  <w:style w:type="paragraph" w:styleId="3">
    <w:name w:val="heading 2"/>
    <w:basedOn w:val="1"/>
    <w:next w:val="1"/>
    <w:link w:val="26"/>
    <w:unhideWhenUsed/>
    <w:qFormat/>
    <w:uiPriority w:val="9"/>
    <w:pPr>
      <w:keepNext/>
      <w:keepLines/>
      <w:spacing w:before="260" w:after="260" w:line="416" w:lineRule="auto"/>
      <w:outlineLvl w:val="1"/>
    </w:pPr>
    <w:rPr>
      <w:rFonts w:asciiTheme="majorHAnsi" w:hAnsiTheme="majorHAnsi" w:eastAsiaTheme="majorEastAsia" w:cstheme="majorBidi"/>
      <w:b/>
      <w:bCs/>
      <w:sz w:val="32"/>
      <w:szCs w:val="32"/>
    </w:rPr>
  </w:style>
  <w:style w:type="paragraph" w:styleId="4">
    <w:name w:val="heading 3"/>
    <w:basedOn w:val="1"/>
    <w:next w:val="1"/>
    <w:link w:val="27"/>
    <w:semiHidden/>
    <w:unhideWhenUsed/>
    <w:qFormat/>
    <w:uiPriority w:val="9"/>
    <w:pPr>
      <w:keepNext/>
      <w:keepLines/>
      <w:spacing w:before="260" w:after="260" w:line="416" w:lineRule="auto"/>
      <w:outlineLvl w:val="2"/>
    </w:pPr>
    <w:rPr>
      <w:b/>
      <w:bCs/>
      <w:sz w:val="32"/>
      <w:szCs w:val="32"/>
    </w:rPr>
  </w:style>
  <w:style w:type="paragraph" w:styleId="5">
    <w:name w:val="heading 4"/>
    <w:basedOn w:val="1"/>
    <w:next w:val="1"/>
    <w:link w:val="28"/>
    <w:semiHidden/>
    <w:unhideWhenUsed/>
    <w:qFormat/>
    <w:uiPriority w:val="9"/>
    <w:pPr>
      <w:keepNext/>
      <w:keepLines/>
      <w:spacing w:before="280" w:after="290" w:line="376" w:lineRule="auto"/>
      <w:outlineLvl w:val="3"/>
    </w:pPr>
    <w:rPr>
      <w:rFonts w:asciiTheme="majorHAnsi" w:hAnsiTheme="majorHAnsi" w:eastAsiaTheme="majorEastAsia" w:cstheme="majorBidi"/>
      <w:b/>
      <w:bCs/>
      <w:sz w:val="28"/>
      <w:szCs w:val="28"/>
    </w:rPr>
  </w:style>
  <w:style w:type="paragraph" w:styleId="6">
    <w:name w:val="heading 5"/>
    <w:basedOn w:val="1"/>
    <w:next w:val="1"/>
    <w:link w:val="29"/>
    <w:semiHidden/>
    <w:unhideWhenUsed/>
    <w:qFormat/>
    <w:uiPriority w:val="9"/>
    <w:pPr>
      <w:keepNext/>
      <w:keepLines/>
      <w:spacing w:before="280" w:after="290" w:line="376" w:lineRule="auto"/>
      <w:outlineLvl w:val="4"/>
    </w:pPr>
    <w:rPr>
      <w:b/>
      <w:bCs/>
      <w:sz w:val="28"/>
      <w:szCs w:val="28"/>
    </w:rPr>
  </w:style>
  <w:style w:type="paragraph" w:styleId="7">
    <w:name w:val="heading 6"/>
    <w:basedOn w:val="1"/>
    <w:next w:val="1"/>
    <w:link w:val="30"/>
    <w:semiHidden/>
    <w:unhideWhenUsed/>
    <w:qFormat/>
    <w:uiPriority w:val="9"/>
    <w:pPr>
      <w:keepNext/>
      <w:keepLines/>
      <w:spacing w:before="240" w:after="64" w:line="320" w:lineRule="auto"/>
      <w:outlineLvl w:val="5"/>
    </w:pPr>
    <w:rPr>
      <w:rFonts w:asciiTheme="majorHAnsi" w:hAnsiTheme="majorHAnsi" w:eastAsiaTheme="majorEastAsia" w:cstheme="majorBidi"/>
      <w:b/>
      <w:bCs/>
      <w:sz w:val="24"/>
      <w:szCs w:val="24"/>
    </w:rPr>
  </w:style>
  <w:style w:type="paragraph" w:styleId="8">
    <w:name w:val="heading 7"/>
    <w:basedOn w:val="1"/>
    <w:next w:val="1"/>
    <w:link w:val="31"/>
    <w:semiHidden/>
    <w:unhideWhenUsed/>
    <w:qFormat/>
    <w:uiPriority w:val="9"/>
    <w:pPr>
      <w:keepNext/>
      <w:keepLines/>
      <w:spacing w:before="240" w:after="64" w:line="320" w:lineRule="auto"/>
      <w:outlineLvl w:val="6"/>
    </w:pPr>
    <w:rPr>
      <w:b/>
      <w:bCs/>
      <w:sz w:val="24"/>
      <w:szCs w:val="24"/>
    </w:rPr>
  </w:style>
  <w:style w:type="paragraph" w:styleId="9">
    <w:name w:val="heading 8"/>
    <w:basedOn w:val="1"/>
    <w:next w:val="1"/>
    <w:link w:val="32"/>
    <w:semiHidden/>
    <w:unhideWhenUsed/>
    <w:qFormat/>
    <w:uiPriority w:val="9"/>
    <w:pPr>
      <w:keepNext/>
      <w:keepLines/>
      <w:spacing w:before="240" w:after="64" w:line="320" w:lineRule="auto"/>
      <w:outlineLvl w:val="7"/>
    </w:pPr>
    <w:rPr>
      <w:rFonts w:asciiTheme="majorHAnsi" w:hAnsiTheme="majorHAnsi" w:eastAsiaTheme="majorEastAsia" w:cstheme="majorBidi"/>
      <w:sz w:val="24"/>
      <w:szCs w:val="24"/>
    </w:rPr>
  </w:style>
  <w:style w:type="paragraph" w:styleId="10">
    <w:name w:val="heading 9"/>
    <w:basedOn w:val="1"/>
    <w:next w:val="1"/>
    <w:link w:val="33"/>
    <w:semiHidden/>
    <w:unhideWhenUsed/>
    <w:qFormat/>
    <w:uiPriority w:val="9"/>
    <w:pPr>
      <w:keepNext/>
      <w:keepLines/>
      <w:spacing w:before="240" w:after="64" w:line="320" w:lineRule="auto"/>
      <w:outlineLvl w:val="8"/>
    </w:pPr>
    <w:rPr>
      <w:rFonts w:asciiTheme="majorHAnsi" w:hAnsiTheme="majorHAnsi" w:eastAsiaTheme="majorEastAsia" w:cstheme="majorBidi"/>
      <w:szCs w:val="21"/>
    </w:rPr>
  </w:style>
  <w:style w:type="character" w:default="1" w:styleId="19">
    <w:name w:val="Default Paragraph Font"/>
    <w:semiHidden/>
    <w:unhideWhenUsed/>
    <w:uiPriority w:val="1"/>
  </w:style>
  <w:style w:type="table" w:default="1" w:styleId="17">
    <w:name w:val="Normal Table"/>
    <w:semiHidden/>
    <w:unhideWhenUsed/>
    <w:uiPriority w:val="99"/>
    <w:tblPr>
      <w:tblCellMar>
        <w:top w:w="0" w:type="dxa"/>
        <w:left w:w="108" w:type="dxa"/>
        <w:bottom w:w="0" w:type="dxa"/>
        <w:right w:w="108" w:type="dxa"/>
      </w:tblCellMar>
    </w:tblPr>
  </w:style>
  <w:style w:type="paragraph" w:styleId="11">
    <w:name w:val="annotation text"/>
    <w:basedOn w:val="12"/>
    <w:next w:val="12"/>
    <w:link w:val="36"/>
    <w:unhideWhenUsed/>
    <w:qFormat/>
    <w:uiPriority w:val="99"/>
    <w:pPr>
      <w:jc w:val="left"/>
    </w:pPr>
    <w:rPr>
      <w:sz w:val="48"/>
      <w:szCs w:val="48"/>
    </w:rPr>
  </w:style>
  <w:style w:type="paragraph" w:styleId="12">
    <w:name w:val="Balloon Text"/>
    <w:basedOn w:val="1"/>
    <w:link w:val="35"/>
    <w:semiHidden/>
    <w:unhideWhenUsed/>
    <w:qFormat/>
    <w:uiPriority w:val="99"/>
    <w:rPr>
      <w:rFonts w:eastAsia="宋体"/>
      <w:sz w:val="28"/>
      <w:szCs w:val="18"/>
    </w:rPr>
  </w:style>
  <w:style w:type="paragraph" w:styleId="13">
    <w:name w:val="footer"/>
    <w:basedOn w:val="1"/>
    <w:link w:val="24"/>
    <w:unhideWhenUsed/>
    <w:qFormat/>
    <w:uiPriority w:val="99"/>
    <w:pPr>
      <w:tabs>
        <w:tab w:val="center" w:pos="4153"/>
        <w:tab w:val="right" w:pos="8306"/>
      </w:tabs>
      <w:snapToGrid w:val="0"/>
      <w:jc w:val="left"/>
    </w:pPr>
    <w:rPr>
      <w:sz w:val="18"/>
      <w:szCs w:val="18"/>
    </w:rPr>
  </w:style>
  <w:style w:type="paragraph" w:styleId="14">
    <w:name w:val="header"/>
    <w:basedOn w:val="1"/>
    <w:link w:val="23"/>
    <w:unhideWhenUsed/>
    <w:qFormat/>
    <w:uiPriority w:val="99"/>
    <w:pPr>
      <w:pBdr>
        <w:bottom w:val="single" w:color="auto" w:sz="6" w:space="1"/>
      </w:pBdr>
      <w:tabs>
        <w:tab w:val="center" w:pos="4153"/>
        <w:tab w:val="right" w:pos="8306"/>
      </w:tabs>
      <w:snapToGrid w:val="0"/>
      <w:jc w:val="center"/>
    </w:pPr>
    <w:rPr>
      <w:sz w:val="18"/>
      <w:szCs w:val="18"/>
    </w:rPr>
  </w:style>
  <w:style w:type="paragraph" w:styleId="15">
    <w:name w:val="Normal (Web)"/>
    <w:basedOn w:val="1"/>
    <w:semiHidden/>
    <w:unhideWhenUsed/>
    <w:qFormat/>
    <w:uiPriority w:val="99"/>
    <w:pPr>
      <w:widowControl/>
      <w:spacing w:before="100" w:beforeAutospacing="1" w:after="100" w:afterAutospacing="1"/>
      <w:jc w:val="left"/>
    </w:pPr>
    <w:rPr>
      <w:rFonts w:ascii="宋体" w:hAnsi="宋体" w:eastAsia="宋体" w:cs="宋体"/>
      <w:kern w:val="0"/>
      <w:sz w:val="24"/>
      <w:szCs w:val="24"/>
    </w:rPr>
  </w:style>
  <w:style w:type="paragraph" w:styleId="16">
    <w:name w:val="annotation subject"/>
    <w:basedOn w:val="11"/>
    <w:next w:val="11"/>
    <w:link w:val="37"/>
    <w:semiHidden/>
    <w:unhideWhenUsed/>
    <w:qFormat/>
    <w:uiPriority w:val="99"/>
    <w:rPr>
      <w:b/>
      <w:bCs/>
    </w:rPr>
  </w:style>
  <w:style w:type="table" w:styleId="18">
    <w:name w:val="Table Grid"/>
    <w:basedOn w:val="17"/>
    <w:qFormat/>
    <w:uiPriority w:val="3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0">
    <w:name w:val="Strong"/>
    <w:basedOn w:val="19"/>
    <w:qFormat/>
    <w:uiPriority w:val="22"/>
    <w:rPr>
      <w:b/>
      <w:bCs/>
    </w:rPr>
  </w:style>
  <w:style w:type="character" w:styleId="21">
    <w:name w:val="Emphasis"/>
    <w:basedOn w:val="19"/>
    <w:qFormat/>
    <w:uiPriority w:val="20"/>
    <w:rPr>
      <w:i/>
      <w:iCs/>
    </w:rPr>
  </w:style>
  <w:style w:type="character" w:styleId="22">
    <w:name w:val="annotation reference"/>
    <w:basedOn w:val="19"/>
    <w:semiHidden/>
    <w:unhideWhenUsed/>
    <w:qFormat/>
    <w:uiPriority w:val="99"/>
    <w:rPr>
      <w:sz w:val="21"/>
      <w:szCs w:val="21"/>
    </w:rPr>
  </w:style>
  <w:style w:type="character" w:customStyle="1" w:styleId="23">
    <w:name w:val="页眉 字符"/>
    <w:basedOn w:val="19"/>
    <w:link w:val="14"/>
    <w:qFormat/>
    <w:uiPriority w:val="99"/>
    <w:rPr>
      <w:sz w:val="18"/>
      <w:szCs w:val="18"/>
    </w:rPr>
  </w:style>
  <w:style w:type="character" w:customStyle="1" w:styleId="24">
    <w:name w:val="页脚 字符"/>
    <w:basedOn w:val="19"/>
    <w:link w:val="13"/>
    <w:qFormat/>
    <w:uiPriority w:val="99"/>
    <w:rPr>
      <w:sz w:val="18"/>
      <w:szCs w:val="18"/>
    </w:rPr>
  </w:style>
  <w:style w:type="character" w:customStyle="1" w:styleId="25">
    <w:name w:val="标题 1 字符"/>
    <w:basedOn w:val="19"/>
    <w:link w:val="2"/>
    <w:qFormat/>
    <w:uiPriority w:val="9"/>
    <w:rPr>
      <w:b/>
      <w:bCs/>
      <w:kern w:val="44"/>
      <w:sz w:val="44"/>
      <w:szCs w:val="44"/>
    </w:rPr>
  </w:style>
  <w:style w:type="character" w:customStyle="1" w:styleId="26">
    <w:name w:val="标题 2 字符"/>
    <w:basedOn w:val="19"/>
    <w:link w:val="3"/>
    <w:qFormat/>
    <w:uiPriority w:val="9"/>
    <w:rPr>
      <w:rFonts w:asciiTheme="majorHAnsi" w:hAnsiTheme="majorHAnsi" w:eastAsiaTheme="majorEastAsia" w:cstheme="majorBidi"/>
      <w:b/>
      <w:bCs/>
      <w:sz w:val="32"/>
      <w:szCs w:val="32"/>
    </w:rPr>
  </w:style>
  <w:style w:type="character" w:customStyle="1" w:styleId="27">
    <w:name w:val="标题 3 字符"/>
    <w:basedOn w:val="19"/>
    <w:link w:val="4"/>
    <w:semiHidden/>
    <w:qFormat/>
    <w:uiPriority w:val="9"/>
    <w:rPr>
      <w:b/>
      <w:bCs/>
      <w:sz w:val="32"/>
      <w:szCs w:val="32"/>
    </w:rPr>
  </w:style>
  <w:style w:type="character" w:customStyle="1" w:styleId="28">
    <w:name w:val="标题 4 字符"/>
    <w:basedOn w:val="19"/>
    <w:link w:val="5"/>
    <w:semiHidden/>
    <w:qFormat/>
    <w:uiPriority w:val="9"/>
    <w:rPr>
      <w:rFonts w:asciiTheme="majorHAnsi" w:hAnsiTheme="majorHAnsi" w:eastAsiaTheme="majorEastAsia" w:cstheme="majorBidi"/>
      <w:b/>
      <w:bCs/>
      <w:sz w:val="28"/>
      <w:szCs w:val="28"/>
    </w:rPr>
  </w:style>
  <w:style w:type="character" w:customStyle="1" w:styleId="29">
    <w:name w:val="标题 5 字符"/>
    <w:basedOn w:val="19"/>
    <w:link w:val="6"/>
    <w:semiHidden/>
    <w:qFormat/>
    <w:uiPriority w:val="9"/>
    <w:rPr>
      <w:b/>
      <w:bCs/>
      <w:sz w:val="28"/>
      <w:szCs w:val="28"/>
    </w:rPr>
  </w:style>
  <w:style w:type="character" w:customStyle="1" w:styleId="30">
    <w:name w:val="标题 6 字符"/>
    <w:basedOn w:val="19"/>
    <w:link w:val="7"/>
    <w:semiHidden/>
    <w:qFormat/>
    <w:uiPriority w:val="9"/>
    <w:rPr>
      <w:rFonts w:asciiTheme="majorHAnsi" w:hAnsiTheme="majorHAnsi" w:eastAsiaTheme="majorEastAsia" w:cstheme="majorBidi"/>
      <w:b/>
      <w:bCs/>
      <w:sz w:val="24"/>
      <w:szCs w:val="24"/>
    </w:rPr>
  </w:style>
  <w:style w:type="character" w:customStyle="1" w:styleId="31">
    <w:name w:val="标题 7 字符"/>
    <w:basedOn w:val="19"/>
    <w:link w:val="8"/>
    <w:semiHidden/>
    <w:qFormat/>
    <w:uiPriority w:val="9"/>
    <w:rPr>
      <w:b/>
      <w:bCs/>
      <w:sz w:val="24"/>
      <w:szCs w:val="24"/>
    </w:rPr>
  </w:style>
  <w:style w:type="character" w:customStyle="1" w:styleId="32">
    <w:name w:val="标题 8 字符"/>
    <w:basedOn w:val="19"/>
    <w:link w:val="9"/>
    <w:semiHidden/>
    <w:qFormat/>
    <w:uiPriority w:val="9"/>
    <w:rPr>
      <w:rFonts w:asciiTheme="majorHAnsi" w:hAnsiTheme="majorHAnsi" w:eastAsiaTheme="majorEastAsia" w:cstheme="majorBidi"/>
      <w:sz w:val="24"/>
      <w:szCs w:val="24"/>
    </w:rPr>
  </w:style>
  <w:style w:type="character" w:customStyle="1" w:styleId="33">
    <w:name w:val="标题 9 字符"/>
    <w:basedOn w:val="19"/>
    <w:link w:val="10"/>
    <w:semiHidden/>
    <w:qFormat/>
    <w:uiPriority w:val="9"/>
    <w:rPr>
      <w:rFonts w:asciiTheme="majorHAnsi" w:hAnsiTheme="majorHAnsi" w:eastAsiaTheme="majorEastAsia" w:cstheme="majorBidi"/>
      <w:szCs w:val="21"/>
    </w:rPr>
  </w:style>
  <w:style w:type="paragraph" w:styleId="34">
    <w:name w:val="List Paragraph"/>
    <w:basedOn w:val="1"/>
    <w:qFormat/>
    <w:uiPriority w:val="34"/>
    <w:pPr>
      <w:ind w:firstLine="420" w:firstLineChars="200"/>
    </w:pPr>
  </w:style>
  <w:style w:type="character" w:customStyle="1" w:styleId="35">
    <w:name w:val="批注框文本 字符"/>
    <w:basedOn w:val="19"/>
    <w:link w:val="12"/>
    <w:semiHidden/>
    <w:qFormat/>
    <w:uiPriority w:val="99"/>
    <w:rPr>
      <w:rFonts w:eastAsia="宋体"/>
      <w:kern w:val="2"/>
      <w:sz w:val="28"/>
      <w:szCs w:val="18"/>
    </w:rPr>
  </w:style>
  <w:style w:type="character" w:customStyle="1" w:styleId="36">
    <w:name w:val="批注文字 字符"/>
    <w:basedOn w:val="19"/>
    <w:link w:val="11"/>
    <w:qFormat/>
    <w:uiPriority w:val="99"/>
    <w:rPr>
      <w:rFonts w:eastAsia="宋体"/>
      <w:kern w:val="2"/>
      <w:sz w:val="48"/>
      <w:szCs w:val="48"/>
    </w:rPr>
  </w:style>
  <w:style w:type="character" w:customStyle="1" w:styleId="37">
    <w:name w:val="批注主题 字符"/>
    <w:basedOn w:val="36"/>
    <w:link w:val="16"/>
    <w:semiHidden/>
    <w:qFormat/>
    <w:uiPriority w:val="99"/>
    <w:rPr>
      <w:rFonts w:eastAsia="宋体"/>
      <w:b/>
      <w:bCs/>
      <w:kern w:val="2"/>
      <w:sz w:val="21"/>
      <w:szCs w:val="22"/>
    </w:rPr>
  </w:style>
  <w:style w:type="paragraph" w:customStyle="1" w:styleId="38">
    <w:name w:val="修订1"/>
    <w:hidden/>
    <w:semiHidden/>
    <w:qFormat/>
    <w:uiPriority w:val="99"/>
    <w:rPr>
      <w:rFonts w:asciiTheme="minorHAnsi" w:hAnsiTheme="minorHAnsi" w:eastAsiaTheme="minorEastAsia" w:cstheme="minorBidi"/>
      <w:kern w:val="2"/>
      <w:sz w:val="21"/>
      <w:szCs w:val="22"/>
      <w:lang w:val="en-US" w:eastAsia="zh-CN" w:bidi="ar-SA"/>
    </w:rPr>
  </w:style>
  <w:style w:type="paragraph" w:customStyle="1" w:styleId="39">
    <w:name w:val="Revision"/>
    <w:hidden/>
    <w:semiHidden/>
    <w:uiPriority w:val="99"/>
    <w:rPr>
      <w:rFonts w:asciiTheme="minorHAnsi" w:hAnsiTheme="minorHAnsi" w:eastAsiaTheme="minorEastAsia" w:cstheme="minorBidi"/>
      <w:kern w:val="2"/>
      <w:sz w:val="21"/>
      <w:szCs w:val="22"/>
      <w:lang w:val="en-US" w:eastAsia="zh-CN" w:bidi="ar-SA"/>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customXml" Target="../customXml/item2.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DFA43CC9-D625-4C2C-B079-352B3D557FF4}">
  <ds:schemaRefs/>
</ds:datastoreItem>
</file>

<file path=docProps/app.xml><?xml version="1.0" encoding="utf-8"?>
<Properties xmlns="http://schemas.openxmlformats.org/officeDocument/2006/extended-properties" xmlns:vt="http://schemas.openxmlformats.org/officeDocument/2006/docPropsVTypes">
  <Template>Normal</Template>
  <Company>Hewlett-Packard Company</Company>
  <Pages>25</Pages>
  <Words>1600</Words>
  <Characters>9125</Characters>
  <Lines>76</Lines>
  <Paragraphs>21</Paragraphs>
  <TotalTime>11</TotalTime>
  <ScaleCrop>false</ScaleCrop>
  <LinksUpToDate>false</LinksUpToDate>
  <CharactersWithSpaces>10704</CharactersWithSpaces>
  <Application>WPS Office_11.1.0.10314_F1E327BC-269C-435d-A152-05C5408002CA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2021-03-22T04:42:00Z</dcterms:created>
  <dc:creator>朱涛</dc:creator>
  <cp:lastModifiedBy>admin</cp:lastModifiedBy>
  <cp:lastPrinted>2019-12-27T01:26:00Z</cp:lastPrinted>
  <dcterms:modified xsi:type="dcterms:W3CDTF">2021-03-22T07:42:48Z</dcterms:modified>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2052-11.1.0.10314</vt:lpwstr>
  </property>
</Properties>
</file>