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p>
    <w:p>
      <w:pPr>
        <w:widowControl w:val="0"/>
        <w:spacing w:line="640" w:lineRule="exact"/>
        <w:jc w:val="both"/>
        <w:outlineLvl w:val="0"/>
        <w:rPr>
          <w:rFonts w:ascii="方正小标宋_GBK" w:hAnsi="方正小标宋_GBK" w:eastAsia="方正小标宋_GBK" w:cs="方正小标宋_GBK"/>
          <w:color w:val="000000"/>
          <w:kern w:val="2"/>
          <w:sz w:val="44"/>
          <w:szCs w:val="44"/>
        </w:rPr>
      </w:pP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ascii="方正小标宋_GBK" w:hAnsi="方正小标宋_GBK" w:eastAsia="方正小标宋_GBK" w:cs="方正小标宋_GBK"/>
          <w:color w:val="000000"/>
          <w:kern w:val="2"/>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_GBK" w:hAnsi="方正小标宋_GBK" w:eastAsia="方正小标宋_GBK" w:cs="方正小标宋_GBK"/>
          <w:color w:val="000000"/>
          <w:kern w:val="2"/>
          <w:sz w:val="44"/>
          <w:szCs w:val="44"/>
        </w:rPr>
        <w:instrText xml:space="preserve">ADDIN CNKISM.UserStyle</w:instrText>
      </w:r>
      <w:r>
        <w:rPr>
          <w:rFonts w:ascii="方正小标宋_GBK" w:hAnsi="方正小标宋_GBK" w:eastAsia="方正小标宋_GBK" w:cs="方正小标宋_GBK"/>
          <w:color w:val="000000"/>
          <w:kern w:val="2"/>
          <w:sz w:val="44"/>
          <w:szCs w:val="44"/>
        </w:rPr>
        <w:fldChar w:fldCharType="end"/>
      </w:r>
      <w:r>
        <w:rPr>
          <w:rFonts w:hint="eastAsia" w:ascii="方正小标宋_GBK" w:hAnsi="方正小标宋_GBK" w:eastAsia="方正小标宋_GBK" w:cs="方正小标宋_GBK"/>
          <w:color w:val="000000"/>
          <w:kern w:val="2"/>
          <w:sz w:val="44"/>
          <w:szCs w:val="44"/>
        </w:rPr>
        <w:t>重庆两江新区管理委员会办公室</w:t>
      </w: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rPr>
        <w:t>关于印发重庆两江新区气候友好型项目</w:t>
      </w:r>
    </w:p>
    <w:p>
      <w:pPr>
        <w:widowControl w:val="0"/>
        <w:spacing w:line="640" w:lineRule="exact"/>
        <w:jc w:val="center"/>
        <w:outlineLvl w:val="0"/>
        <w:rPr>
          <w:rFonts w:ascii="方正小标宋_GBK" w:hAnsi="方正小标宋_GBK" w:eastAsia="方正小标宋_GBK" w:cs="方正小标宋_GBK"/>
          <w:color w:val="000000"/>
          <w:kern w:val="2"/>
          <w:sz w:val="44"/>
          <w:szCs w:val="44"/>
        </w:rPr>
      </w:pPr>
      <w:r>
        <w:rPr>
          <w:rFonts w:hint="eastAsia" w:ascii="方正小标宋_GBK" w:hAnsi="方正小标宋_GBK" w:eastAsia="方正小标宋_GBK" w:cs="方正小标宋_GBK"/>
          <w:color w:val="000000"/>
          <w:kern w:val="2"/>
          <w:sz w:val="44"/>
          <w:szCs w:val="44"/>
        </w:rPr>
        <w:t>重点支持清单的通知</w:t>
      </w:r>
    </w:p>
    <w:p>
      <w:pPr>
        <w:spacing w:line="520" w:lineRule="exact"/>
        <w:jc w:val="center"/>
        <w:outlineLvl w:val="0"/>
        <w:rPr>
          <w:rFonts w:ascii="方正小标宋简体" w:hAnsi="Times New Roman" w:eastAsia="方正小标宋简体" w:cs="方正小标宋_GBK"/>
          <w:color w:val="000000"/>
          <w:kern w:val="2"/>
          <w:sz w:val="44"/>
          <w:szCs w:val="44"/>
        </w:rPr>
      </w:pPr>
    </w:p>
    <w:p>
      <w:pPr>
        <w:spacing w:line="510" w:lineRule="exact"/>
        <w:rPr>
          <w:rFonts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各国有企业，各街道办事处，委机关各部门，各驻区机构，各直属事业单位：</w:t>
      </w:r>
    </w:p>
    <w:p>
      <w:pPr>
        <w:spacing w:line="510" w:lineRule="exact"/>
        <w:ind w:firstLine="640" w:firstLineChars="200"/>
        <w:rPr>
          <w:rFonts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经管委会同意，现将《重庆两江新区气候友好型项目重点支持清单》印发给你们，请结合实际认真</w:t>
      </w:r>
      <w:r>
        <w:rPr>
          <w:rFonts w:hint="eastAsia" w:ascii="方正楷体_GBK" w:hAnsi="方正楷体_GBK" w:eastAsia="方正楷体_GBK" w:cs="方正楷体_GBK"/>
          <w:kern w:val="2"/>
          <w:sz w:val="32"/>
          <w:szCs w:val="22"/>
          <w:lang w:eastAsia="zh-CN"/>
        </w:rPr>
        <w:t>组织</w:t>
      </w:r>
      <w:r>
        <w:rPr>
          <w:rFonts w:hint="eastAsia" w:ascii="方正楷体_GBK" w:hAnsi="方正楷体_GBK" w:eastAsia="方正楷体_GBK" w:cs="方正楷体_GBK"/>
          <w:kern w:val="2"/>
          <w:sz w:val="32"/>
          <w:szCs w:val="22"/>
        </w:rPr>
        <w:t>实施。</w:t>
      </w:r>
    </w:p>
    <w:p>
      <w:pPr>
        <w:spacing w:line="510" w:lineRule="exact"/>
        <w:ind w:firstLine="640" w:firstLineChars="200"/>
        <w:rPr>
          <w:rFonts w:ascii="方正楷体_GBK" w:hAnsi="方正楷体_GBK" w:eastAsia="方正楷体_GBK" w:cs="方正楷体_GBK"/>
          <w:kern w:val="2"/>
          <w:sz w:val="32"/>
          <w:szCs w:val="22"/>
        </w:rPr>
      </w:pPr>
    </w:p>
    <w:p>
      <w:pPr>
        <w:widowControl w:val="0"/>
        <w:tabs>
          <w:tab w:val="left" w:pos="5040"/>
        </w:tabs>
        <w:spacing w:after="120"/>
        <w:ind w:firstLine="320" w:firstLineChars="100"/>
        <w:jc w:val="both"/>
        <w:rPr>
          <w:rFonts w:ascii="Times New Roman" w:hAnsi="Times New Roman" w:eastAsia="方正仿宋_GBK"/>
          <w:kern w:val="2"/>
          <w:sz w:val="32"/>
          <w:szCs w:val="22"/>
        </w:rPr>
      </w:pPr>
    </w:p>
    <w:p>
      <w:pPr>
        <w:widowControl w:val="0"/>
        <w:tabs>
          <w:tab w:val="left" w:pos="5040"/>
        </w:tabs>
        <w:spacing w:after="120"/>
        <w:ind w:firstLine="320" w:firstLineChars="100"/>
        <w:jc w:val="both"/>
        <w:rPr>
          <w:rFonts w:ascii="Times New Roman" w:hAnsi="Times New Roman" w:eastAsia="方正仿宋_GBK"/>
          <w:kern w:val="2"/>
          <w:sz w:val="32"/>
          <w:szCs w:val="22"/>
        </w:rPr>
      </w:pPr>
    </w:p>
    <w:p>
      <w:pPr>
        <w:spacing w:line="510" w:lineRule="exact"/>
        <w:ind w:firstLine="640" w:firstLineChars="200"/>
        <w:rPr>
          <w:rFonts w:ascii="方正楷体_GBK" w:hAnsi="方正楷体_GBK" w:eastAsia="方正楷体_GBK" w:cs="方正楷体_GBK"/>
          <w:kern w:val="2"/>
          <w:sz w:val="32"/>
          <w:szCs w:val="22"/>
        </w:rPr>
      </w:pPr>
    </w:p>
    <w:p>
      <w:pPr>
        <w:spacing w:line="510" w:lineRule="exact"/>
        <w:ind w:firstLine="3680" w:firstLineChars="1150"/>
        <w:rPr>
          <w:rFonts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重庆两江新区管理委员会办公室</w:t>
      </w:r>
    </w:p>
    <w:p>
      <w:pPr>
        <w:spacing w:line="510" w:lineRule="exact"/>
        <w:ind w:firstLine="4640" w:firstLineChars="1450"/>
        <w:rPr>
          <w:rFonts w:hint="eastAsia" w:ascii="方正楷体_GBK" w:hAnsi="方正楷体_GBK" w:eastAsia="方正楷体_GBK" w:cs="方正楷体_GBK"/>
          <w:kern w:val="2"/>
          <w:sz w:val="32"/>
          <w:szCs w:val="22"/>
        </w:rPr>
      </w:pPr>
      <w:r>
        <w:rPr>
          <w:rFonts w:hint="eastAsia" w:ascii="方正楷体_GBK" w:hAnsi="方正楷体_GBK" w:eastAsia="方正楷体_GBK" w:cs="方正楷体_GBK"/>
          <w:kern w:val="2"/>
          <w:sz w:val="32"/>
          <w:szCs w:val="22"/>
        </w:rPr>
        <w:t>2023年4月</w:t>
      </w:r>
      <w:r>
        <w:rPr>
          <w:rFonts w:hint="eastAsia" w:ascii="方正楷体_GBK" w:hAnsi="方正楷体_GBK" w:eastAsia="方正楷体_GBK" w:cs="方正楷体_GBK"/>
          <w:kern w:val="2"/>
          <w:sz w:val="32"/>
          <w:szCs w:val="22"/>
          <w:lang w:val="en-US" w:eastAsia="zh-CN"/>
        </w:rPr>
        <w:t>10</w:t>
      </w:r>
      <w:bookmarkStart w:id="0" w:name="_GoBack"/>
      <w:bookmarkEnd w:id="0"/>
      <w:r>
        <w:rPr>
          <w:rFonts w:hint="eastAsia" w:ascii="方正楷体_GBK" w:hAnsi="方正楷体_GBK" w:eastAsia="方正楷体_GBK" w:cs="方正楷体_GBK"/>
          <w:kern w:val="2"/>
          <w:sz w:val="32"/>
          <w:szCs w:val="22"/>
        </w:rPr>
        <w:t>日</w:t>
      </w:r>
    </w:p>
    <w:p>
      <w:pPr>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方正楷体_GBK" w:hAnsi="方正楷体_GBK" w:eastAsia="方正楷体_GBK" w:cs="方正楷体_GBK"/>
          <w:kern w:val="2"/>
          <w:sz w:val="32"/>
          <w:szCs w:val="22"/>
        </w:rPr>
      </w:pPr>
    </w:p>
    <w:p>
      <w:pPr>
        <w:keepNext w:val="0"/>
        <w:keepLines w:val="0"/>
        <w:pageBreakBefore w:val="0"/>
        <w:widowControl/>
        <w:kinsoku/>
        <w:wordWrap/>
        <w:overflowPunct/>
        <w:topLinePunct w:val="0"/>
        <w:autoSpaceDE/>
        <w:autoSpaceDN/>
        <w:bidi w:val="0"/>
        <w:adjustRightInd/>
        <w:snapToGrid/>
        <w:spacing w:line="510" w:lineRule="exact"/>
        <w:ind w:firstLine="640" w:firstLineChars="200"/>
        <w:textAlignment w:val="auto"/>
        <w:rPr>
          <w:rFonts w:hint="eastAsia" w:ascii="方正黑体_GBK" w:hAnsi="方正黑体_GBK" w:eastAsia="方正黑体_GBK" w:cs="方正黑体_GBK"/>
          <w:kern w:val="2"/>
          <w:sz w:val="32"/>
          <w:szCs w:val="22"/>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992" w:gutter="0"/>
          <w:pgNumType w:fmt="numberInDash"/>
          <w:cols w:space="425" w:num="1"/>
          <w:docGrid w:type="lines" w:linePitch="312" w:charSpace="0"/>
        </w:sectPr>
      </w:pPr>
      <w:r>
        <w:rPr>
          <w:rFonts w:hint="eastAsia" w:ascii="方正黑体_GBK" w:hAnsi="方正黑体_GBK" w:eastAsia="方正黑体_GBK" w:cs="方正黑体_GBK"/>
          <w:kern w:val="2"/>
          <w:sz w:val="32"/>
          <w:szCs w:val="22"/>
          <w:lang w:eastAsia="zh-CN"/>
        </w:rPr>
        <w:t>（此件公开发布）</w:t>
      </w:r>
    </w:p>
    <w:p>
      <w:pPr>
        <w:widowControl w:val="0"/>
        <w:jc w:val="center"/>
        <w:rPr>
          <w:rFonts w:ascii="等线" w:hAnsi="等线" w:eastAsia="等线"/>
          <w:kern w:val="2"/>
          <w:sz w:val="21"/>
          <w:szCs w:val="22"/>
        </w:rPr>
      </w:pPr>
      <w:r>
        <w:rPr>
          <w:rFonts w:hint="eastAsia" w:ascii="方正小标宋_GBK" w:hAnsi="方正小标宋_GBK" w:eastAsia="方正小标宋_GBK" w:cs="方正小标宋_GBK"/>
          <w:color w:val="000000"/>
          <w:sz w:val="44"/>
          <w:szCs w:val="44"/>
        </w:rPr>
        <w:t>重庆两江新区气候友好型项目重点支持清单</w:t>
      </w:r>
    </w:p>
    <w:tbl>
      <w:tblPr>
        <w:tblStyle w:val="17"/>
        <w:tblW w:w="13708" w:type="dxa"/>
        <w:tblInd w:w="150" w:type="dxa"/>
        <w:tblLayout w:type="fixed"/>
        <w:tblCellMar>
          <w:top w:w="0" w:type="dxa"/>
          <w:left w:w="108" w:type="dxa"/>
          <w:bottom w:w="0" w:type="dxa"/>
          <w:right w:w="108" w:type="dxa"/>
        </w:tblCellMar>
      </w:tblPr>
      <w:tblGrid>
        <w:gridCol w:w="2083"/>
        <w:gridCol w:w="2553"/>
        <w:gridCol w:w="9072"/>
      </w:tblGrid>
      <w:tr>
        <w:tblPrEx>
          <w:tblLayout w:type="fixed"/>
        </w:tblPrEx>
        <w:trPr>
          <w:trHeight w:val="257" w:hRule="atLeast"/>
          <w:tblHeader/>
        </w:trPr>
        <w:tc>
          <w:tcPr>
            <w:tcW w:w="208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jc w:val="center"/>
              <w:rPr>
                <w:rFonts w:ascii="黑体" w:hAnsi="等线" w:eastAsia="黑体" w:cs="黑体"/>
                <w:color w:val="000000"/>
                <w:sz w:val="28"/>
                <w:szCs w:val="28"/>
              </w:rPr>
            </w:pPr>
            <w:r>
              <w:rPr>
                <w:rFonts w:hint="eastAsia" w:ascii="黑体" w:hAnsi="等线" w:eastAsia="黑体" w:cs="黑体"/>
                <w:color w:val="000000"/>
                <w:sz w:val="28"/>
                <w:szCs w:val="28"/>
              </w:rPr>
              <w:t>一级分类</w:t>
            </w:r>
          </w:p>
        </w:tc>
        <w:tc>
          <w:tcPr>
            <w:tcW w:w="255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jc w:val="center"/>
              <w:rPr>
                <w:rFonts w:ascii="黑体" w:hAnsi="等线" w:eastAsia="黑体" w:cs="黑体"/>
                <w:color w:val="000000"/>
                <w:sz w:val="28"/>
                <w:szCs w:val="28"/>
              </w:rPr>
            </w:pPr>
            <w:r>
              <w:rPr>
                <w:rFonts w:hint="eastAsia" w:ascii="黑体" w:hAnsi="等线" w:eastAsia="黑体" w:cs="黑体"/>
                <w:color w:val="000000"/>
                <w:sz w:val="28"/>
                <w:szCs w:val="28"/>
              </w:rPr>
              <w:t>二级分类</w:t>
            </w: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jc w:val="center"/>
              <w:rPr>
                <w:rFonts w:ascii="黑体" w:hAnsi="等线" w:eastAsia="黑体" w:cs="黑体"/>
                <w:color w:val="000000"/>
                <w:sz w:val="28"/>
                <w:szCs w:val="28"/>
              </w:rPr>
            </w:pPr>
            <w:r>
              <w:rPr>
                <w:rFonts w:hint="eastAsia" w:ascii="黑体" w:hAnsi="等线" w:eastAsia="黑体" w:cs="黑体"/>
                <w:color w:val="000000"/>
                <w:sz w:val="28"/>
                <w:szCs w:val="28"/>
              </w:rPr>
              <w:t>主要范围</w:t>
            </w:r>
          </w:p>
        </w:tc>
      </w:tr>
      <w:tr>
        <w:tblPrEx>
          <w:tblLayout w:type="fixed"/>
        </w:tblPrEx>
        <w:trPr>
          <w:trHeight w:val="514" w:hRule="atLeast"/>
        </w:trPr>
        <w:tc>
          <w:tcPr>
            <w:tcW w:w="2083" w:type="dxa"/>
            <w:vMerge w:val="restar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r>
              <w:rPr>
                <w:rFonts w:ascii="方正黑体_GBK" w:hAnsi="等线" w:eastAsia="方正黑体_GBK" w:cs="方正黑体_GBK"/>
                <w:color w:val="000000"/>
                <w:sz w:val="28"/>
                <w:szCs w:val="28"/>
              </w:rPr>
              <w:t>1.</w:t>
            </w:r>
            <w:r>
              <w:rPr>
                <w:rFonts w:hint="eastAsia" w:ascii="方正黑体_GBK" w:hAnsi="等线" w:eastAsia="方正黑体_GBK" w:cs="方正黑体_GBK"/>
                <w:color w:val="000000"/>
                <w:sz w:val="28"/>
                <w:szCs w:val="28"/>
              </w:rPr>
              <w:t>清洁能源类</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1.1</w:t>
            </w:r>
            <w:r>
              <w:rPr>
                <w:rFonts w:hint="eastAsia" w:ascii="方正楷体_GBK" w:hAnsi="等线" w:eastAsia="方正楷体_GBK" w:cs="方正楷体_GBK"/>
                <w:color w:val="000000"/>
                <w:sz w:val="28"/>
                <w:szCs w:val="28"/>
              </w:rPr>
              <w:t>新能源设施建设与运营</w:t>
            </w: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风力发电设施、太阳能利用设施、生物质能源利用设施、大型水力发电设施、核电站设施、地热能利用设施、氢能利用设施、热泵设施等建设和运营</w:t>
            </w:r>
          </w:p>
        </w:tc>
      </w:tr>
      <w:tr>
        <w:tblPrEx>
          <w:tblLayout w:type="fixed"/>
          <w:tblCellMar>
            <w:top w:w="0" w:type="dxa"/>
            <w:left w:w="108" w:type="dxa"/>
            <w:bottom w:w="0" w:type="dxa"/>
            <w:right w:w="108" w:type="dxa"/>
          </w:tblCellMar>
        </w:tblPrEx>
        <w:trPr>
          <w:trHeight w:val="514" w:hRule="atLeast"/>
        </w:trPr>
        <w:tc>
          <w:tcPr>
            <w:tcW w:w="2083" w:type="dxa"/>
            <w:vMerge w:val="continue"/>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p>
        </w:tc>
        <w:tc>
          <w:tcPr>
            <w:tcW w:w="255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1.2</w:t>
            </w:r>
            <w:r>
              <w:rPr>
                <w:rFonts w:hint="eastAsia" w:ascii="方正楷体_GBK" w:hAnsi="等线" w:eastAsia="方正楷体_GBK" w:cs="方正楷体_GBK"/>
                <w:color w:val="000000"/>
                <w:sz w:val="28"/>
                <w:szCs w:val="28"/>
              </w:rPr>
              <w:t>高效储能和能源输送设施建设与运营</w:t>
            </w: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多能互补工程、高效储能设施、特高压电网、智能电网、微电网、天然气输送储运调峰、分布式能源工程、抽水蓄能电站等建设和运营、应急备用和调峰电源、跨地区清洁电力输送系统、户用分布式光伏整县推进等</w:t>
            </w:r>
          </w:p>
        </w:tc>
      </w:tr>
      <w:tr>
        <w:tblPrEx>
          <w:tblLayout w:type="fixed"/>
          <w:tblCellMar>
            <w:top w:w="0" w:type="dxa"/>
            <w:left w:w="108" w:type="dxa"/>
            <w:bottom w:w="0" w:type="dxa"/>
            <w:right w:w="108" w:type="dxa"/>
          </w:tblCellMar>
        </w:tblPrEx>
        <w:trPr>
          <w:trHeight w:val="768" w:hRule="atLeast"/>
        </w:trPr>
        <w:tc>
          <w:tcPr>
            <w:tcW w:w="2083" w:type="dxa"/>
            <w:vMerge w:val="restart"/>
            <w:tcBorders>
              <w:top w:val="single" w:color="auto" w:sz="4" w:space="0"/>
              <w:left w:val="single" w:color="auto" w:sz="4" w:space="0"/>
              <w:right w:val="single" w:color="auto" w:sz="4" w:space="0"/>
            </w:tcBorders>
            <w:vAlign w:val="center"/>
          </w:tcPr>
          <w:p>
            <w:pPr>
              <w:widowControl w:val="0"/>
              <w:autoSpaceDE w:val="0"/>
              <w:autoSpaceDN w:val="0"/>
              <w:adjustRightInd w:val="0"/>
              <w:snapToGrid w:val="0"/>
              <w:jc w:val="both"/>
              <w:rPr>
                <w:rFonts w:hint="eastAsia" w:ascii="方正黑体_GBK" w:hAnsi="等线" w:eastAsia="方正黑体_GBK" w:cs="方正黑体_GBK"/>
                <w:color w:val="000000"/>
                <w:sz w:val="28"/>
                <w:szCs w:val="28"/>
              </w:rPr>
            </w:pPr>
            <w:r>
              <w:rPr>
                <w:rFonts w:ascii="方正黑体_GBK" w:hAnsi="等线" w:eastAsia="方正黑体_GBK" w:cs="方正黑体_GBK"/>
                <w:color w:val="000000"/>
                <w:sz w:val="28"/>
                <w:szCs w:val="28"/>
              </w:rPr>
              <w:t>2.</w:t>
            </w:r>
            <w:r>
              <w:rPr>
                <w:rFonts w:hint="eastAsia" w:ascii="方正黑体_GBK" w:hAnsi="等线" w:eastAsia="方正黑体_GBK" w:cs="方正黑体_GBK"/>
                <w:color w:val="000000"/>
                <w:sz w:val="28"/>
                <w:szCs w:val="28"/>
              </w:rPr>
              <w:t>制造类</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2.1</w:t>
            </w:r>
            <w:r>
              <w:rPr>
                <w:rFonts w:hint="eastAsia" w:ascii="方正楷体_GBK" w:hAnsi="等线" w:eastAsia="方正楷体_GBK" w:cs="方正楷体_GBK"/>
                <w:color w:val="000000"/>
                <w:sz w:val="28"/>
                <w:szCs w:val="28"/>
              </w:rPr>
              <w:t>新能源与清洁能源装备制造</w:t>
            </w: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风力发电装备制造、太阳能发电装备制造、生物质能利用装备制造、水力发电和抽水蓄能装备制造、核电装备制造、燃气轮机装备制造，页岩气勘查开采和综合利用装备制造、智能电网产品和装备制造、燃料电池装备制造、地热能开发利用装备制造；飞轮储能、压缩空气储能、超级电容储能、储热等储能装备制造，氢气提取、储存等氢能利用装备制造等</w:t>
            </w:r>
          </w:p>
        </w:tc>
      </w:tr>
      <w:tr>
        <w:tblPrEx>
          <w:tblLayout w:type="fixed"/>
          <w:tblCellMar>
            <w:top w:w="0" w:type="dxa"/>
            <w:left w:w="108" w:type="dxa"/>
            <w:bottom w:w="0" w:type="dxa"/>
            <w:right w:w="108" w:type="dxa"/>
          </w:tblCellMar>
        </w:tblPrEx>
        <w:trPr>
          <w:trHeight w:val="276" w:hRule="atLeast"/>
        </w:trPr>
        <w:tc>
          <w:tcPr>
            <w:tcW w:w="2083" w:type="dxa"/>
            <w:vMerge w:val="continue"/>
            <w:tcBorders>
              <w:left w:val="single" w:color="auto" w:sz="4" w:space="0"/>
              <w:right w:val="single" w:color="auto" w:sz="4" w:space="0"/>
            </w:tcBorders>
          </w:tcPr>
          <w:p>
            <w:pPr>
              <w:widowControl w:val="0"/>
              <w:autoSpaceDE w:val="0"/>
              <w:autoSpaceDN w:val="0"/>
              <w:adjustRightInd w:val="0"/>
              <w:snapToGrid w:val="0"/>
              <w:jc w:val="both"/>
              <w:rPr>
                <w:rFonts w:ascii="方正黑体_GBK" w:hAnsi="等线" w:eastAsia="方正黑体_GBK" w:cs="方正黑体_GBK"/>
                <w:color w:val="000000"/>
                <w:sz w:val="28"/>
                <w:szCs w:val="28"/>
              </w:rPr>
            </w:pPr>
          </w:p>
        </w:tc>
        <w:tc>
          <w:tcPr>
            <w:tcW w:w="255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2.2</w:t>
            </w:r>
            <w:r>
              <w:rPr>
                <w:rFonts w:hint="eastAsia" w:ascii="方正楷体_GBK" w:hAnsi="等线" w:eastAsia="方正楷体_GBK" w:cs="方正楷体_GBK"/>
                <w:color w:val="000000"/>
                <w:sz w:val="28"/>
                <w:szCs w:val="28"/>
              </w:rPr>
              <w:t>智能网联新能源汽车制造</w:t>
            </w: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新能源汽车电池、电机及其控制系统、电附件、插电式混合动力专用发动机、机电耦合系统及能量回收系统等新能源汽车关键核心零部件装备制造和产业化设施建设运营</w:t>
            </w:r>
          </w:p>
        </w:tc>
      </w:tr>
      <w:tr>
        <w:tblPrEx>
          <w:tblLayout w:type="fixed"/>
          <w:tblCellMar>
            <w:top w:w="0" w:type="dxa"/>
            <w:left w:w="108" w:type="dxa"/>
            <w:bottom w:w="0" w:type="dxa"/>
            <w:right w:w="108" w:type="dxa"/>
          </w:tblCellMar>
        </w:tblPrEx>
        <w:trPr>
          <w:trHeight w:val="514" w:hRule="atLeast"/>
        </w:trPr>
        <w:tc>
          <w:tcPr>
            <w:tcW w:w="2083" w:type="dxa"/>
            <w:vMerge w:val="continue"/>
            <w:tcBorders>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p>
        </w:tc>
        <w:tc>
          <w:tcPr>
            <w:tcW w:w="255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2.3</w:t>
            </w:r>
            <w:r>
              <w:rPr>
                <w:rFonts w:hint="eastAsia" w:ascii="方正楷体_GBK" w:hAnsi="等线" w:eastAsia="方正楷体_GBK" w:cs="方正楷体_GBK"/>
                <w:color w:val="000000"/>
                <w:sz w:val="28"/>
                <w:szCs w:val="28"/>
              </w:rPr>
              <w:t>新型电子产品制造</w:t>
            </w: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电源管理芯片、化合物半导体、半导体晶体管等器件产品制造，先进传感器产品制造，智能仪器仪表等其他新型电子产品制造</w:t>
            </w:r>
          </w:p>
        </w:tc>
      </w:tr>
      <w:tr>
        <w:tblPrEx>
          <w:tblLayout w:type="fixed"/>
          <w:tblCellMar>
            <w:top w:w="0" w:type="dxa"/>
            <w:left w:w="108" w:type="dxa"/>
            <w:bottom w:w="0" w:type="dxa"/>
            <w:right w:w="108" w:type="dxa"/>
          </w:tblCellMar>
        </w:tblPrEx>
        <w:trPr>
          <w:trHeight w:val="514" w:hRule="atLeast"/>
        </w:trPr>
        <w:tc>
          <w:tcPr>
            <w:tcW w:w="2083" w:type="dxa"/>
            <w:vMerge w:val="restart"/>
            <w:tcBorders>
              <w:top w:val="single" w:color="auto" w:sz="4" w:space="0"/>
              <w:left w:val="single" w:color="auto" w:sz="4" w:space="0"/>
              <w:right w:val="single" w:color="auto" w:sz="4"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r>
              <w:rPr>
                <w:rFonts w:ascii="方正黑体_GBK" w:hAnsi="等线" w:eastAsia="方正黑体_GBK" w:cs="方正黑体_GBK"/>
                <w:color w:val="000000"/>
                <w:sz w:val="28"/>
                <w:szCs w:val="28"/>
              </w:rPr>
              <w:t>2.</w:t>
            </w:r>
            <w:r>
              <w:rPr>
                <w:rFonts w:hint="eastAsia" w:ascii="方正黑体_GBK" w:hAnsi="等线" w:eastAsia="方正黑体_GBK" w:cs="方正黑体_GBK"/>
                <w:color w:val="000000"/>
                <w:sz w:val="28"/>
                <w:szCs w:val="28"/>
              </w:rPr>
              <w:t>制造类</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2.4</w:t>
            </w:r>
            <w:r>
              <w:rPr>
                <w:rFonts w:hint="eastAsia" w:ascii="方正楷体_GBK" w:hAnsi="等线" w:eastAsia="方正楷体_GBK" w:cs="方正楷体_GBK"/>
                <w:color w:val="000000"/>
                <w:sz w:val="28"/>
                <w:szCs w:val="28"/>
              </w:rPr>
              <w:t>先进材料制造</w:t>
            </w: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先进轻合金材料、高性能纤维、先进增强复合材料等轻量化材料制造，高效保温隔热材料制造，光伏材料制造，二氧化碳吸附材料等其他先进材料制造</w:t>
            </w:r>
          </w:p>
        </w:tc>
      </w:tr>
      <w:tr>
        <w:tblPrEx>
          <w:tblLayout w:type="fixed"/>
          <w:tblCellMar>
            <w:top w:w="0" w:type="dxa"/>
            <w:left w:w="108" w:type="dxa"/>
            <w:bottom w:w="0" w:type="dxa"/>
            <w:right w:w="108" w:type="dxa"/>
          </w:tblCellMar>
        </w:tblPrEx>
        <w:trPr>
          <w:trHeight w:val="514" w:hRule="atLeast"/>
        </w:trPr>
        <w:tc>
          <w:tcPr>
            <w:tcW w:w="2083" w:type="dxa"/>
            <w:vMerge w:val="continue"/>
            <w:tcBorders>
              <w:left w:val="single" w:color="auto" w:sz="4" w:space="0"/>
              <w:right w:val="single" w:color="auto" w:sz="4"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p>
        </w:tc>
        <w:tc>
          <w:tcPr>
            <w:tcW w:w="255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2.5</w:t>
            </w:r>
            <w:r>
              <w:rPr>
                <w:rFonts w:hint="eastAsia" w:ascii="方正楷体_GBK" w:hAnsi="等线" w:eastAsia="方正楷体_GBK" w:cs="方正楷体_GBK"/>
                <w:color w:val="000000"/>
                <w:sz w:val="28"/>
                <w:szCs w:val="28"/>
              </w:rPr>
              <w:t>节能环保装备制造</w:t>
            </w: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达到行业先进水平的节能电机、节能风机、节能气体压缩设备、节能高效泵及真空设备、节能锅炉窑炉、节能变压器、余压余热利用设备、节能家用电器、节能商用设备、高效照明产品、能源计量设备等节能装备；水污染防治装备、大气污染防治装备、土壤污染治理与修复装备、固体废物处理处置装备、减震降噪装备、放射性污染防治和处理设备、环境污染处理药剂与材料制造、环境监测仪器与应急处理设备制造、二氧化碳捕集与封存设备制造等环保装备制造；资源循环利用装备制造</w:t>
            </w:r>
          </w:p>
        </w:tc>
      </w:tr>
      <w:tr>
        <w:tblPrEx>
          <w:tblLayout w:type="fixed"/>
          <w:tblCellMar>
            <w:top w:w="0" w:type="dxa"/>
            <w:left w:w="108" w:type="dxa"/>
            <w:bottom w:w="0" w:type="dxa"/>
            <w:right w:w="108" w:type="dxa"/>
          </w:tblCellMar>
        </w:tblPrEx>
        <w:trPr>
          <w:trHeight w:val="885" w:hRule="atLeast"/>
        </w:trPr>
        <w:tc>
          <w:tcPr>
            <w:tcW w:w="2083" w:type="dxa"/>
            <w:vMerge w:val="continue"/>
            <w:tcBorders>
              <w:left w:val="single" w:color="auto" w:sz="4" w:space="0"/>
              <w:bottom w:val="single" w:color="auto" w:sz="4" w:space="0"/>
              <w:right w:val="single" w:color="auto" w:sz="4" w:space="0"/>
            </w:tcBorders>
          </w:tcPr>
          <w:p>
            <w:pPr>
              <w:widowControl w:val="0"/>
              <w:autoSpaceDE w:val="0"/>
              <w:autoSpaceDN w:val="0"/>
              <w:adjustRightInd w:val="0"/>
              <w:snapToGrid w:val="0"/>
              <w:rPr>
                <w:rFonts w:ascii="方正黑体_GBK" w:hAnsi="等线" w:eastAsia="方正黑体_GBK" w:cs="方正黑体_GBK"/>
                <w:color w:val="000000"/>
                <w:sz w:val="28"/>
                <w:szCs w:val="28"/>
              </w:rPr>
            </w:pPr>
          </w:p>
        </w:tc>
        <w:tc>
          <w:tcPr>
            <w:tcW w:w="255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2.6</w:t>
            </w:r>
            <w:r>
              <w:rPr>
                <w:rFonts w:hint="eastAsia" w:ascii="方正楷体_GBK" w:hAnsi="等线" w:eastAsia="方正楷体_GBK" w:cs="方正楷体_GBK"/>
                <w:color w:val="000000"/>
                <w:sz w:val="28"/>
                <w:szCs w:val="28"/>
              </w:rPr>
              <w:t>其他绿色制造</w:t>
            </w: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绿色船舶制造；机器人及智能装备制造；生物医药制造等其他绿色制造产业；绿色建材产品制造</w:t>
            </w:r>
          </w:p>
        </w:tc>
      </w:tr>
      <w:tr>
        <w:tblPrEx>
          <w:tblLayout w:type="fixed"/>
          <w:tblCellMar>
            <w:top w:w="0" w:type="dxa"/>
            <w:left w:w="108" w:type="dxa"/>
            <w:bottom w:w="0" w:type="dxa"/>
            <w:right w:w="108" w:type="dxa"/>
          </w:tblCellMar>
        </w:tblPrEx>
        <w:trPr>
          <w:trHeight w:val="514" w:hRule="atLeast"/>
        </w:trPr>
        <w:tc>
          <w:tcPr>
            <w:tcW w:w="2083" w:type="dxa"/>
            <w:vMerge w:val="restart"/>
            <w:tcBorders>
              <w:top w:val="single" w:color="auto" w:sz="4" w:space="0"/>
              <w:left w:val="single" w:color="auto" w:sz="4" w:space="0"/>
              <w:right w:val="single" w:color="auto" w:sz="4" w:space="0"/>
            </w:tcBorders>
            <w:vAlign w:val="center"/>
          </w:tcPr>
          <w:p>
            <w:pPr>
              <w:widowControl w:val="0"/>
              <w:autoSpaceDE w:val="0"/>
              <w:autoSpaceDN w:val="0"/>
              <w:adjustRightInd w:val="0"/>
              <w:snapToGrid w:val="0"/>
              <w:jc w:val="both"/>
              <w:rPr>
                <w:rFonts w:hint="eastAsia" w:ascii="方正黑体_GBK" w:hAnsi="等线" w:eastAsia="方正黑体_GBK" w:cs="方正黑体_GBK"/>
                <w:color w:val="000000"/>
                <w:sz w:val="28"/>
                <w:szCs w:val="28"/>
              </w:rPr>
            </w:pPr>
            <w:r>
              <w:rPr>
                <w:rFonts w:ascii="方正黑体_GBK" w:hAnsi="等线" w:eastAsia="方正黑体_GBK" w:cs="方正黑体_GBK"/>
                <w:color w:val="000000"/>
                <w:sz w:val="28"/>
                <w:szCs w:val="28"/>
              </w:rPr>
              <w:t>3.</w:t>
            </w:r>
            <w:r>
              <w:rPr>
                <w:rFonts w:hint="eastAsia" w:ascii="方正黑体_GBK" w:hAnsi="等线" w:eastAsia="方正黑体_GBK" w:cs="方正黑体_GBK"/>
                <w:color w:val="000000"/>
                <w:sz w:val="28"/>
                <w:szCs w:val="28"/>
              </w:rPr>
              <w:t>节能及资源循环利用类</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3.1</w:t>
            </w:r>
            <w:r>
              <w:rPr>
                <w:rFonts w:hint="eastAsia" w:ascii="方正楷体_GBK" w:hAnsi="等线" w:eastAsia="方正楷体_GBK" w:cs="方正楷体_GBK"/>
                <w:color w:val="000000"/>
                <w:sz w:val="28"/>
                <w:szCs w:val="28"/>
              </w:rPr>
              <w:t>能源高效利用</w:t>
            </w: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通过工艺优化、电机系统能效提升、锅炉窑炉节能提升改造、开展余压余热余能利用等方式提高工业能源利用效率；能量管理系统建设和优化；汽轮发电机组能效提升；绿色照明改造等</w:t>
            </w:r>
          </w:p>
        </w:tc>
      </w:tr>
      <w:tr>
        <w:tblPrEx>
          <w:tblLayout w:type="fixed"/>
          <w:tblCellMar>
            <w:top w:w="0" w:type="dxa"/>
            <w:left w:w="108" w:type="dxa"/>
            <w:bottom w:w="0" w:type="dxa"/>
            <w:right w:w="108" w:type="dxa"/>
          </w:tblCellMar>
        </w:tblPrEx>
        <w:trPr>
          <w:trHeight w:val="1435" w:hRule="atLeast"/>
        </w:trPr>
        <w:tc>
          <w:tcPr>
            <w:tcW w:w="2083" w:type="dxa"/>
            <w:vMerge w:val="continue"/>
            <w:tcBorders>
              <w:left w:val="single" w:color="auto" w:sz="4" w:space="0"/>
              <w:bottom w:val="single" w:color="auto" w:sz="6" w:space="0"/>
              <w:right w:val="single" w:color="auto" w:sz="4"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p>
        </w:tc>
        <w:tc>
          <w:tcPr>
            <w:tcW w:w="2553" w:type="dxa"/>
            <w:tcBorders>
              <w:top w:val="single" w:color="auto" w:sz="4" w:space="0"/>
              <w:left w:val="single" w:color="auto" w:sz="4" w:space="0"/>
              <w:bottom w:val="single" w:color="auto" w:sz="6" w:space="0"/>
              <w:right w:val="single" w:color="auto" w:sz="6"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3.2</w:t>
            </w:r>
            <w:r>
              <w:rPr>
                <w:rFonts w:hint="eastAsia" w:ascii="方正楷体_GBK" w:hAnsi="等线" w:eastAsia="方正楷体_GBK" w:cs="方正楷体_GBK"/>
                <w:color w:val="000000"/>
                <w:sz w:val="28"/>
                <w:szCs w:val="28"/>
              </w:rPr>
              <w:t>资源循环利用</w:t>
            </w:r>
          </w:p>
        </w:tc>
        <w:tc>
          <w:tcPr>
            <w:tcW w:w="9072" w:type="dxa"/>
            <w:tcBorders>
              <w:top w:val="single" w:color="auto" w:sz="4" w:space="0"/>
              <w:left w:val="single" w:color="auto" w:sz="6" w:space="0"/>
              <w:bottom w:val="single" w:color="auto" w:sz="6" w:space="0"/>
              <w:right w:val="single" w:color="auto" w:sz="6"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废水处理、非常规水资源利用、固体废物综合利用、生物质资源综合利用、再生资源回收利用、产业园区循环化改造、畜禽粪污资源化利用等资源循环利用</w:t>
            </w:r>
          </w:p>
        </w:tc>
      </w:tr>
      <w:tr>
        <w:tblPrEx>
          <w:tblLayout w:type="fixed"/>
          <w:tblCellMar>
            <w:top w:w="0" w:type="dxa"/>
            <w:left w:w="108" w:type="dxa"/>
            <w:bottom w:w="0" w:type="dxa"/>
            <w:right w:w="108" w:type="dxa"/>
          </w:tblCellMar>
        </w:tblPrEx>
        <w:trPr>
          <w:trHeight w:val="276" w:hRule="atLeast"/>
        </w:trPr>
        <w:tc>
          <w:tcPr>
            <w:tcW w:w="20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r>
              <w:rPr>
                <w:rFonts w:ascii="方正黑体_GBK" w:hAnsi="等线" w:eastAsia="方正黑体_GBK" w:cs="方正黑体_GBK"/>
                <w:color w:val="000000"/>
                <w:sz w:val="28"/>
                <w:szCs w:val="28"/>
              </w:rPr>
              <w:t>4.</w:t>
            </w:r>
            <w:r>
              <w:rPr>
                <w:rFonts w:hint="eastAsia" w:ascii="方正黑体_GBK" w:hAnsi="等线" w:eastAsia="方正黑体_GBK" w:cs="方正黑体_GBK"/>
                <w:color w:val="000000"/>
                <w:sz w:val="28"/>
                <w:szCs w:val="28"/>
              </w:rPr>
              <w:t>低碳农业类</w:t>
            </w:r>
          </w:p>
        </w:tc>
        <w:tc>
          <w:tcPr>
            <w:tcW w:w="255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4.1</w:t>
            </w:r>
            <w:r>
              <w:rPr>
                <w:rFonts w:hint="eastAsia" w:ascii="方正楷体_GBK" w:hAnsi="等线" w:eastAsia="方正楷体_GBK" w:cs="方正楷体_GBK"/>
                <w:color w:val="000000"/>
                <w:sz w:val="28"/>
                <w:szCs w:val="28"/>
              </w:rPr>
              <w:t>农业低碳发展</w:t>
            </w:r>
          </w:p>
        </w:tc>
        <w:tc>
          <w:tcPr>
            <w:tcW w:w="9072"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稻田甲烷减排、农田氧化亚氮减排、保护性耕作固碳、农作物秸秆还田固碳、反刍动物肠道甲烷减排、畜禽粪便管理温室气体减排、渔业综合养殖碳汇、农业可再生能源利用等可减少农业生产过程温室气体排放的活动</w:t>
            </w:r>
          </w:p>
        </w:tc>
      </w:tr>
      <w:tr>
        <w:tblPrEx>
          <w:tblLayout w:type="fixed"/>
          <w:tblCellMar>
            <w:top w:w="0" w:type="dxa"/>
            <w:left w:w="108" w:type="dxa"/>
            <w:bottom w:w="0" w:type="dxa"/>
            <w:right w:w="108" w:type="dxa"/>
          </w:tblCellMar>
        </w:tblPrEx>
        <w:trPr>
          <w:trHeight w:val="276" w:hRule="atLeast"/>
        </w:trPr>
        <w:tc>
          <w:tcPr>
            <w:tcW w:w="2083" w:type="dxa"/>
            <w:vMerge w:val="restart"/>
            <w:tcBorders>
              <w:top w:val="single" w:color="auto" w:sz="6" w:space="0"/>
              <w:left w:val="single" w:color="auto" w:sz="6" w:space="0"/>
              <w:right w:val="single" w:color="auto" w:sz="6"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r>
              <w:rPr>
                <w:rFonts w:ascii="方正黑体_GBK" w:hAnsi="等线" w:eastAsia="方正黑体_GBK" w:cs="方正黑体_GBK"/>
                <w:color w:val="000000"/>
                <w:sz w:val="28"/>
                <w:szCs w:val="28"/>
              </w:rPr>
              <w:t>5.</w:t>
            </w:r>
            <w:r>
              <w:rPr>
                <w:rFonts w:hint="eastAsia" w:ascii="方正黑体_GBK" w:hAnsi="等线" w:eastAsia="方正黑体_GBK" w:cs="方正黑体_GBK"/>
                <w:color w:val="000000"/>
                <w:sz w:val="28"/>
                <w:szCs w:val="28"/>
              </w:rPr>
              <w:t>低碳建筑类</w:t>
            </w:r>
          </w:p>
        </w:tc>
        <w:tc>
          <w:tcPr>
            <w:tcW w:w="255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5.1</w:t>
            </w:r>
            <w:r>
              <w:rPr>
                <w:rFonts w:hint="eastAsia" w:ascii="方正楷体_GBK" w:hAnsi="等线" w:eastAsia="方正楷体_GBK" w:cs="方正楷体_GBK"/>
                <w:color w:val="000000"/>
                <w:sz w:val="28"/>
                <w:szCs w:val="28"/>
              </w:rPr>
              <w:t>既有建筑节能改造</w:t>
            </w:r>
          </w:p>
        </w:tc>
        <w:tc>
          <w:tcPr>
            <w:tcW w:w="9072"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公共建筑节能和其他建筑节能改造、区域集中供冷</w:t>
            </w:r>
            <w:r>
              <w:rPr>
                <w:rFonts w:ascii="方正仿宋_GBK" w:hAnsi="等线" w:eastAsia="方正仿宋_GBK" w:cs="方正仿宋_GBK"/>
                <w:color w:val="000000"/>
                <w:sz w:val="28"/>
                <w:szCs w:val="28"/>
              </w:rPr>
              <w:t>/</w:t>
            </w:r>
            <w:r>
              <w:rPr>
                <w:rFonts w:hint="eastAsia" w:ascii="方正仿宋_GBK" w:hAnsi="等线" w:eastAsia="方正仿宋_GBK" w:cs="方正仿宋_GBK"/>
                <w:color w:val="000000"/>
                <w:sz w:val="28"/>
                <w:szCs w:val="28"/>
              </w:rPr>
              <w:t>热（包括热泵及空调）设施建设和运行</w:t>
            </w:r>
          </w:p>
        </w:tc>
      </w:tr>
      <w:tr>
        <w:tblPrEx>
          <w:tblLayout w:type="fixed"/>
          <w:tblCellMar>
            <w:top w:w="0" w:type="dxa"/>
            <w:left w:w="108" w:type="dxa"/>
            <w:bottom w:w="0" w:type="dxa"/>
            <w:right w:w="108" w:type="dxa"/>
          </w:tblCellMar>
        </w:tblPrEx>
        <w:trPr>
          <w:trHeight w:val="276" w:hRule="atLeast"/>
        </w:trPr>
        <w:tc>
          <w:tcPr>
            <w:tcW w:w="2083" w:type="dxa"/>
            <w:vMerge w:val="continue"/>
            <w:tcBorders>
              <w:left w:val="single" w:color="auto" w:sz="6" w:space="0"/>
              <w:bottom w:val="single" w:color="auto" w:sz="6" w:space="0"/>
              <w:right w:val="single" w:color="auto" w:sz="6" w:space="0"/>
            </w:tcBorders>
          </w:tcPr>
          <w:p>
            <w:pPr>
              <w:widowControl w:val="0"/>
              <w:autoSpaceDE w:val="0"/>
              <w:autoSpaceDN w:val="0"/>
              <w:adjustRightInd w:val="0"/>
              <w:snapToGrid w:val="0"/>
              <w:rPr>
                <w:rFonts w:ascii="方正黑体_GBK" w:hAnsi="等线" w:eastAsia="方正黑体_GBK" w:cs="方正黑体_GBK"/>
                <w:color w:val="000000"/>
                <w:sz w:val="28"/>
                <w:szCs w:val="28"/>
              </w:rPr>
            </w:pPr>
          </w:p>
        </w:tc>
        <w:tc>
          <w:tcPr>
            <w:tcW w:w="255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5.2</w:t>
            </w:r>
            <w:r>
              <w:rPr>
                <w:rFonts w:hint="eastAsia" w:ascii="方正楷体_GBK" w:hAnsi="等线" w:eastAsia="方正楷体_GBK" w:cs="方正楷体_GBK"/>
                <w:color w:val="000000"/>
                <w:sz w:val="28"/>
                <w:szCs w:val="28"/>
              </w:rPr>
              <w:t>新建建筑</w:t>
            </w:r>
          </w:p>
        </w:tc>
        <w:tc>
          <w:tcPr>
            <w:tcW w:w="9072"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超低能耗建筑、达到二星级以上的绿色建筑等低碳建筑建造，建筑可再生能源应用，装配式建筑</w:t>
            </w:r>
          </w:p>
        </w:tc>
      </w:tr>
      <w:tr>
        <w:tblPrEx>
          <w:tblLayout w:type="fixed"/>
          <w:tblCellMar>
            <w:top w:w="0" w:type="dxa"/>
            <w:left w:w="108" w:type="dxa"/>
            <w:bottom w:w="0" w:type="dxa"/>
            <w:right w:w="108" w:type="dxa"/>
          </w:tblCellMar>
        </w:tblPrEx>
        <w:trPr>
          <w:trHeight w:val="1039" w:hRule="atLeast"/>
        </w:trPr>
        <w:tc>
          <w:tcPr>
            <w:tcW w:w="208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r>
              <w:rPr>
                <w:rFonts w:ascii="方正黑体_GBK" w:hAnsi="等线" w:eastAsia="方正黑体_GBK" w:cs="方正黑体_GBK"/>
                <w:color w:val="000000"/>
                <w:sz w:val="28"/>
                <w:szCs w:val="28"/>
              </w:rPr>
              <w:t>6.</w:t>
            </w:r>
            <w:r>
              <w:rPr>
                <w:rFonts w:hint="eastAsia" w:ascii="方正黑体_GBK" w:hAnsi="等线" w:eastAsia="方正黑体_GBK" w:cs="方正黑体_GBK"/>
                <w:color w:val="000000"/>
                <w:sz w:val="28"/>
                <w:szCs w:val="28"/>
              </w:rPr>
              <w:t>交通类</w:t>
            </w:r>
          </w:p>
        </w:tc>
        <w:tc>
          <w:tcPr>
            <w:tcW w:w="255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6.1</w:t>
            </w:r>
            <w:r>
              <w:rPr>
                <w:rFonts w:hint="eastAsia" w:ascii="方正楷体_GBK" w:hAnsi="等线" w:eastAsia="方正楷体_GBK" w:cs="方正楷体_GBK"/>
                <w:color w:val="000000"/>
                <w:sz w:val="28"/>
                <w:szCs w:val="28"/>
              </w:rPr>
              <w:t>绿色交通</w:t>
            </w:r>
          </w:p>
        </w:tc>
        <w:tc>
          <w:tcPr>
            <w:tcW w:w="9072"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不停车收费系统，智能交通设施，充电、换电、加氢和加气设施等清洁能源车辆配套设施，城市慢行系统，城乡公共交通系统，共享交通设施，公路甩挂运输系统，货物运输铁路，船舶岸电设施等建设运营，机场廊桥供电设施，铁路节能环保改造，多式联运交通枢纽建设，绿色物流仓储设施建设，绿色交通工具替代推广等</w:t>
            </w:r>
          </w:p>
        </w:tc>
      </w:tr>
      <w:tr>
        <w:tblPrEx>
          <w:tblLayout w:type="fixed"/>
          <w:tblCellMar>
            <w:top w:w="0" w:type="dxa"/>
            <w:left w:w="108" w:type="dxa"/>
            <w:bottom w:w="0" w:type="dxa"/>
            <w:right w:w="108" w:type="dxa"/>
          </w:tblCellMar>
        </w:tblPrEx>
        <w:trPr>
          <w:trHeight w:val="768" w:hRule="atLeast"/>
        </w:trPr>
        <w:tc>
          <w:tcPr>
            <w:tcW w:w="2083" w:type="dxa"/>
            <w:vMerge w:val="restart"/>
            <w:tcBorders>
              <w:top w:val="single" w:color="auto" w:sz="6" w:space="0"/>
              <w:left w:val="single" w:color="auto" w:sz="6" w:space="0"/>
              <w:right w:val="single" w:color="auto" w:sz="6"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r>
              <w:rPr>
                <w:rFonts w:ascii="方正黑体_GBK" w:hAnsi="等线" w:eastAsia="方正黑体_GBK" w:cs="方正黑体_GBK"/>
                <w:color w:val="000000"/>
                <w:sz w:val="28"/>
                <w:szCs w:val="28"/>
              </w:rPr>
              <w:t>7.</w:t>
            </w:r>
            <w:r>
              <w:rPr>
                <w:rFonts w:hint="eastAsia" w:ascii="方正黑体_GBK" w:hAnsi="等线" w:eastAsia="方正黑体_GBK" w:cs="方正黑体_GBK"/>
                <w:color w:val="000000"/>
                <w:sz w:val="28"/>
                <w:szCs w:val="28"/>
              </w:rPr>
              <w:t>非能源活动温室气体减排及</w:t>
            </w:r>
            <w:r>
              <w:rPr>
                <w:rFonts w:ascii="方正黑体_GBK" w:hAnsi="等线" w:eastAsia="方正黑体_GBK" w:cs="方正黑体_GBK"/>
                <w:color w:val="000000"/>
                <w:sz w:val="28"/>
                <w:szCs w:val="28"/>
              </w:rPr>
              <w:t>CCUS</w:t>
            </w:r>
            <w:r>
              <w:rPr>
                <w:rFonts w:hint="eastAsia" w:ascii="方正黑体_GBK" w:hAnsi="等线" w:eastAsia="方正黑体_GBK" w:cs="方正黑体_GBK"/>
                <w:color w:val="000000"/>
                <w:sz w:val="28"/>
                <w:szCs w:val="28"/>
              </w:rPr>
              <w:t>类</w:t>
            </w:r>
          </w:p>
        </w:tc>
        <w:tc>
          <w:tcPr>
            <w:tcW w:w="255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7.1</w:t>
            </w:r>
            <w:r>
              <w:rPr>
                <w:rFonts w:hint="eastAsia" w:ascii="方正楷体_GBK" w:hAnsi="等线" w:eastAsia="方正楷体_GBK" w:cs="方正楷体_GBK"/>
                <w:color w:val="000000"/>
                <w:sz w:val="28"/>
                <w:szCs w:val="28"/>
              </w:rPr>
              <w:t>非能源活动温室气体减排</w:t>
            </w:r>
          </w:p>
        </w:tc>
        <w:tc>
          <w:tcPr>
            <w:tcW w:w="9072"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napToGrid w:val="0"/>
              <w:jc w:val="both"/>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通过生产工艺改造、清洁生产方式实现工业生产过程减排，减少煤炭行业、油气行业甲烷逃逸排放和放空排放的活动，煤层气抽采利用等逸散气体回收利用设施建设与运营，工业、商业及居民相关设施中低升温潜势制冷剂替换或制冷设备改造等</w:t>
            </w:r>
          </w:p>
        </w:tc>
      </w:tr>
      <w:tr>
        <w:tblPrEx>
          <w:tblLayout w:type="fixed"/>
          <w:tblCellMar>
            <w:top w:w="0" w:type="dxa"/>
            <w:left w:w="108" w:type="dxa"/>
            <w:bottom w:w="0" w:type="dxa"/>
            <w:right w:w="108" w:type="dxa"/>
          </w:tblCellMar>
        </w:tblPrEx>
        <w:trPr>
          <w:trHeight w:val="1025" w:hRule="atLeast"/>
        </w:trPr>
        <w:tc>
          <w:tcPr>
            <w:tcW w:w="2083" w:type="dxa"/>
            <w:vMerge w:val="continue"/>
            <w:tcBorders>
              <w:left w:val="single" w:color="auto" w:sz="6" w:space="0"/>
              <w:bottom w:val="single" w:color="auto" w:sz="6" w:space="0"/>
              <w:right w:val="single" w:color="auto" w:sz="6" w:space="0"/>
            </w:tcBorders>
          </w:tcPr>
          <w:p>
            <w:pPr>
              <w:widowControl w:val="0"/>
              <w:autoSpaceDE w:val="0"/>
              <w:autoSpaceDN w:val="0"/>
              <w:adjustRightInd w:val="0"/>
              <w:snapToGrid w:val="0"/>
              <w:rPr>
                <w:rFonts w:ascii="方正黑体_GBK" w:hAnsi="等线" w:eastAsia="方正黑体_GBK" w:cs="方正黑体_GBK"/>
                <w:color w:val="000000"/>
                <w:sz w:val="28"/>
                <w:szCs w:val="28"/>
              </w:rPr>
            </w:pPr>
          </w:p>
        </w:tc>
        <w:tc>
          <w:tcPr>
            <w:tcW w:w="255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7.2CCUS</w:t>
            </w:r>
          </w:p>
        </w:tc>
        <w:tc>
          <w:tcPr>
            <w:tcW w:w="9072"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二氧化碳驱油技术应用、直接空气碳捕集与封存、生物质能碳捕集与封存、其他碳捕集、利用与封存设施的建设和运营</w:t>
            </w:r>
          </w:p>
        </w:tc>
      </w:tr>
      <w:tr>
        <w:tblPrEx>
          <w:tblLayout w:type="fixed"/>
          <w:tblCellMar>
            <w:top w:w="0" w:type="dxa"/>
            <w:left w:w="108" w:type="dxa"/>
            <w:bottom w:w="0" w:type="dxa"/>
            <w:right w:w="108" w:type="dxa"/>
          </w:tblCellMar>
        </w:tblPrEx>
        <w:trPr>
          <w:trHeight w:val="545" w:hRule="atLeast"/>
        </w:trPr>
        <w:tc>
          <w:tcPr>
            <w:tcW w:w="2083" w:type="dxa"/>
            <w:vMerge w:val="restart"/>
            <w:tcBorders>
              <w:top w:val="single" w:color="auto" w:sz="6" w:space="0"/>
              <w:left w:val="single" w:color="auto" w:sz="6" w:space="0"/>
              <w:right w:val="single" w:color="auto" w:sz="6"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r>
              <w:rPr>
                <w:rFonts w:ascii="方正黑体_GBK" w:hAnsi="等线" w:eastAsia="方正黑体_GBK" w:cs="方正黑体_GBK"/>
                <w:color w:val="000000"/>
                <w:sz w:val="28"/>
                <w:szCs w:val="28"/>
              </w:rPr>
              <w:t>8.</w:t>
            </w:r>
            <w:r>
              <w:rPr>
                <w:rFonts w:hint="eastAsia" w:ascii="方正黑体_GBK" w:hAnsi="等线" w:eastAsia="方正黑体_GBK" w:cs="方正黑体_GBK"/>
                <w:color w:val="000000"/>
                <w:sz w:val="28"/>
                <w:szCs w:val="28"/>
              </w:rPr>
              <w:t>减污降碳协同增效类</w:t>
            </w:r>
          </w:p>
        </w:tc>
        <w:tc>
          <w:tcPr>
            <w:tcW w:w="255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8.1</w:t>
            </w:r>
            <w:r>
              <w:rPr>
                <w:rFonts w:hint="eastAsia" w:ascii="方正楷体_GBK" w:hAnsi="等线" w:eastAsia="方正楷体_GBK" w:cs="方正楷体_GBK"/>
                <w:color w:val="000000"/>
                <w:sz w:val="28"/>
                <w:szCs w:val="28"/>
              </w:rPr>
              <w:t>生态环境治理</w:t>
            </w:r>
          </w:p>
        </w:tc>
        <w:tc>
          <w:tcPr>
            <w:tcW w:w="9072"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水污染治理、大气污染治理、土壤污染治理及其他污染治理、农业农村环境综合治理、工业生产过程污染治理、工业园区污染治理、水土流失综合治理工程等</w:t>
            </w:r>
          </w:p>
        </w:tc>
      </w:tr>
      <w:tr>
        <w:tblPrEx>
          <w:tblLayout w:type="fixed"/>
          <w:tblCellMar>
            <w:top w:w="0" w:type="dxa"/>
            <w:left w:w="108" w:type="dxa"/>
            <w:bottom w:w="0" w:type="dxa"/>
            <w:right w:w="108" w:type="dxa"/>
          </w:tblCellMar>
        </w:tblPrEx>
        <w:trPr>
          <w:trHeight w:val="514" w:hRule="atLeast"/>
        </w:trPr>
        <w:tc>
          <w:tcPr>
            <w:tcW w:w="2083" w:type="dxa"/>
            <w:vMerge w:val="continue"/>
            <w:tcBorders>
              <w:left w:val="single" w:color="auto" w:sz="6" w:space="0"/>
              <w:bottom w:val="single" w:color="auto" w:sz="4" w:space="0"/>
              <w:right w:val="single" w:color="auto" w:sz="6"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p>
        </w:tc>
        <w:tc>
          <w:tcPr>
            <w:tcW w:w="2553" w:type="dxa"/>
            <w:tcBorders>
              <w:top w:val="single" w:color="auto" w:sz="6" w:space="0"/>
              <w:left w:val="single" w:color="auto" w:sz="6" w:space="0"/>
              <w:bottom w:val="single" w:color="auto" w:sz="4" w:space="0"/>
              <w:right w:val="single" w:color="auto" w:sz="6"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8.2</w:t>
            </w:r>
            <w:r>
              <w:rPr>
                <w:rFonts w:hint="eastAsia" w:ascii="方正楷体_GBK" w:hAnsi="等线" w:eastAsia="方正楷体_GBK" w:cs="方正楷体_GBK"/>
                <w:color w:val="000000"/>
                <w:sz w:val="28"/>
                <w:szCs w:val="28"/>
              </w:rPr>
              <w:t>生态系统增汇</w:t>
            </w:r>
          </w:p>
        </w:tc>
        <w:tc>
          <w:tcPr>
            <w:tcW w:w="9072" w:type="dxa"/>
            <w:tcBorders>
              <w:top w:val="single" w:color="auto" w:sz="6" w:space="0"/>
              <w:left w:val="single" w:color="auto" w:sz="6" w:space="0"/>
              <w:bottom w:val="single" w:color="auto" w:sz="4" w:space="0"/>
              <w:right w:val="single" w:color="auto" w:sz="6"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造林、再造林和可持续森林管理等林业碳汇，城市公园绿地的建设、改造和养护等城市绿地碳汇，岩溶碳汇，湿地、草地、土壤等生态系统固碳增汇能力提升</w:t>
            </w:r>
          </w:p>
        </w:tc>
      </w:tr>
      <w:tr>
        <w:tblPrEx>
          <w:tblLayout w:type="fixed"/>
          <w:tblCellMar>
            <w:top w:w="0" w:type="dxa"/>
            <w:left w:w="108" w:type="dxa"/>
            <w:bottom w:w="0" w:type="dxa"/>
            <w:right w:w="108" w:type="dxa"/>
          </w:tblCellMar>
        </w:tblPrEx>
        <w:trPr>
          <w:trHeight w:val="1279" w:hRule="atLeast"/>
        </w:trPr>
        <w:tc>
          <w:tcPr>
            <w:tcW w:w="2083" w:type="dxa"/>
            <w:vMerge w:val="restar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hint="eastAsia" w:ascii="方正黑体_GBK" w:hAnsi="等线" w:eastAsia="方正黑体_GBK" w:cs="方正黑体_GBK"/>
                <w:color w:val="000000"/>
                <w:sz w:val="28"/>
                <w:szCs w:val="28"/>
              </w:rPr>
            </w:pPr>
            <w:r>
              <w:rPr>
                <w:rFonts w:ascii="方正黑体_GBK" w:hAnsi="等线" w:eastAsia="方正黑体_GBK" w:cs="方正黑体_GBK"/>
                <w:color w:val="000000"/>
                <w:sz w:val="28"/>
                <w:szCs w:val="28"/>
              </w:rPr>
              <w:t>9.</w:t>
            </w:r>
            <w:r>
              <w:rPr>
                <w:rFonts w:hint="eastAsia" w:ascii="方正黑体_GBK" w:hAnsi="等线" w:eastAsia="方正黑体_GBK" w:cs="方正黑体_GBK"/>
                <w:color w:val="000000"/>
                <w:sz w:val="28"/>
                <w:szCs w:val="28"/>
              </w:rPr>
              <w:t>气候适应型建设类</w:t>
            </w:r>
          </w:p>
        </w:tc>
        <w:tc>
          <w:tcPr>
            <w:tcW w:w="2553"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9.1</w:t>
            </w:r>
            <w:r>
              <w:rPr>
                <w:rFonts w:hint="eastAsia" w:ascii="方正楷体_GBK" w:hAnsi="等线" w:eastAsia="方正楷体_GBK" w:cs="方正楷体_GBK"/>
                <w:color w:val="000000"/>
                <w:sz w:val="28"/>
                <w:szCs w:val="28"/>
              </w:rPr>
              <w:t>气候变化监测预警和风险管理类项目</w:t>
            </w:r>
          </w:p>
          <w:p>
            <w:pPr>
              <w:widowControl w:val="0"/>
              <w:autoSpaceDE w:val="0"/>
              <w:autoSpaceDN w:val="0"/>
              <w:adjustRightInd w:val="0"/>
              <w:snapToGrid w:val="0"/>
              <w:jc w:val="both"/>
              <w:rPr>
                <w:rFonts w:ascii="方正楷体_GBK" w:hAnsi="等线" w:eastAsia="方正楷体_GBK" w:cs="方正楷体_GBK"/>
                <w:color w:val="000000"/>
                <w:sz w:val="28"/>
                <w:szCs w:val="28"/>
              </w:rPr>
            </w:pP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jc w:val="both"/>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完善大气圈观测网络、建设多圈层及其相互作用观测网络等完善气候变化观测网络项目</w:t>
            </w:r>
            <w:r>
              <w:rPr>
                <w:rFonts w:hint="eastAsia" w:ascii="方正仿宋_GBK" w:hAnsi="等线" w:eastAsia="方正仿宋_GBK" w:cs="方正仿宋_GBK"/>
                <w:color w:val="000000"/>
                <w:sz w:val="28"/>
                <w:szCs w:val="28"/>
                <w:lang w:eastAsia="zh-CN"/>
              </w:rPr>
              <w:t>；</w:t>
            </w:r>
            <w:r>
              <w:rPr>
                <w:rFonts w:hint="eastAsia" w:ascii="方正仿宋_GBK" w:hAnsi="等线" w:eastAsia="方正仿宋_GBK" w:cs="方正仿宋_GBK"/>
                <w:color w:val="000000"/>
                <w:sz w:val="28"/>
                <w:szCs w:val="28"/>
              </w:rPr>
              <w:t>提升气候系统监测分析能力、提高精准预报预测水平、强化极端天气气候事件预警等强化气候变化监测预测预警项目</w:t>
            </w:r>
            <w:r>
              <w:rPr>
                <w:rFonts w:hint="eastAsia" w:ascii="方正仿宋_GBK" w:hAnsi="等线" w:eastAsia="方正仿宋_GBK" w:cs="方正仿宋_GBK"/>
                <w:color w:val="000000"/>
                <w:sz w:val="28"/>
                <w:szCs w:val="28"/>
                <w:lang w:eastAsia="zh-CN"/>
              </w:rPr>
              <w:t>；</w:t>
            </w:r>
            <w:r>
              <w:rPr>
                <w:rFonts w:hint="eastAsia" w:ascii="方正仿宋_GBK" w:hAnsi="等线" w:eastAsia="方正仿宋_GBK" w:cs="方正仿宋_GBK"/>
                <w:color w:val="000000"/>
                <w:sz w:val="28"/>
                <w:szCs w:val="28"/>
              </w:rPr>
              <w:t>提升评估技术水平和基础能力、加强敏感领域和重点区域气候变化影响和风险评估等加强气候变化影响和风险评估项目</w:t>
            </w:r>
            <w:r>
              <w:rPr>
                <w:rFonts w:hint="eastAsia" w:ascii="方正仿宋_GBK" w:hAnsi="等线" w:eastAsia="方正仿宋_GBK" w:cs="方正仿宋_GBK"/>
                <w:color w:val="000000"/>
                <w:sz w:val="28"/>
                <w:szCs w:val="28"/>
                <w:lang w:eastAsia="zh-CN"/>
              </w:rPr>
              <w:t>；</w:t>
            </w:r>
            <w:r>
              <w:rPr>
                <w:rFonts w:hint="eastAsia" w:ascii="方正仿宋_GBK" w:hAnsi="等线" w:eastAsia="方正仿宋_GBK" w:cs="方正仿宋_GBK"/>
                <w:color w:val="000000"/>
                <w:sz w:val="28"/>
                <w:szCs w:val="28"/>
              </w:rPr>
              <w:t>灾害风险管理、防范化解重大风险、强化自然灾害综合治理、强化应急机制和处置力量建设等强化综合防灾减灾项目</w:t>
            </w:r>
          </w:p>
        </w:tc>
      </w:tr>
      <w:tr>
        <w:tblPrEx>
          <w:tblLayout w:type="fixed"/>
          <w:tblCellMar>
            <w:top w:w="0" w:type="dxa"/>
            <w:left w:w="108" w:type="dxa"/>
            <w:bottom w:w="0" w:type="dxa"/>
            <w:right w:w="108" w:type="dxa"/>
          </w:tblCellMar>
        </w:tblPrEx>
        <w:trPr>
          <w:trHeight w:val="1221" w:hRule="atLeast"/>
        </w:trPr>
        <w:tc>
          <w:tcPr>
            <w:tcW w:w="2083" w:type="dxa"/>
            <w:vMerge w:val="continue"/>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黑体_GBK" w:hAnsi="等线" w:eastAsia="方正黑体_GBK" w:cs="方正黑体_GBK"/>
                <w:color w:val="000000"/>
                <w:sz w:val="28"/>
                <w:szCs w:val="28"/>
              </w:rPr>
            </w:pPr>
          </w:p>
        </w:tc>
        <w:tc>
          <w:tcPr>
            <w:tcW w:w="2553" w:type="dxa"/>
            <w:vMerge w:val="restar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9.2</w:t>
            </w:r>
            <w:r>
              <w:rPr>
                <w:rFonts w:hint="eastAsia" w:ascii="方正楷体_GBK" w:hAnsi="等线" w:eastAsia="方正楷体_GBK" w:cs="方正楷体_GBK"/>
                <w:color w:val="000000"/>
                <w:sz w:val="28"/>
                <w:szCs w:val="28"/>
              </w:rPr>
              <w:t>提升自然生态系统适应气候变化能力类项目</w:t>
            </w: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构建水资源及洪涝</w:t>
            </w:r>
            <w:r>
              <w:rPr>
                <w:rFonts w:hint="eastAsia" w:ascii="方正仿宋_GBK" w:hAnsi="等线" w:eastAsia="方正仿宋_GBK" w:cs="方正仿宋_GBK"/>
                <w:color w:val="000000"/>
                <w:sz w:val="28"/>
                <w:szCs w:val="28"/>
                <w:lang w:eastAsia="zh-CN"/>
              </w:rPr>
              <w:t>干</w:t>
            </w:r>
            <w:r>
              <w:rPr>
                <w:rFonts w:hint="eastAsia" w:ascii="方正仿宋_GBK" w:hAnsi="等线" w:eastAsia="方正仿宋_GBK" w:cs="方正仿宋_GBK"/>
                <w:color w:val="000000"/>
                <w:sz w:val="28"/>
                <w:szCs w:val="28"/>
              </w:rPr>
              <w:t>旱灾害智能化监测体系、推进水资源集约节约利用、实施国家水网重大工程、完善流域防洪工程体系与洪水风险防控体系、强化大江大河大湖生态保护治理能力等水资源保护和利用项目</w:t>
            </w:r>
            <w:r>
              <w:rPr>
                <w:rFonts w:hint="eastAsia" w:ascii="方正仿宋_GBK" w:hAnsi="等线" w:eastAsia="方正仿宋_GBK" w:cs="方正仿宋_GBK"/>
                <w:color w:val="000000"/>
                <w:sz w:val="28"/>
                <w:szCs w:val="28"/>
                <w:lang w:eastAsia="zh-CN"/>
              </w:rPr>
              <w:t>；</w:t>
            </w:r>
            <w:r>
              <w:rPr>
                <w:rFonts w:hint="eastAsia" w:ascii="方正仿宋_GBK" w:hAnsi="等线" w:eastAsia="方正仿宋_GBK" w:cs="方正仿宋_GBK"/>
                <w:color w:val="000000"/>
                <w:sz w:val="28"/>
                <w:szCs w:val="28"/>
              </w:rPr>
              <w:t>构建陆地生态系统综合监测体系、建立完善陆地生态系统保护与监管体系、加强典型生态系统保护与退化生态系统恢复、提升灾害预警防御与治理能力、实施</w:t>
            </w:r>
          </w:p>
        </w:tc>
      </w:tr>
      <w:tr>
        <w:tblPrEx>
          <w:tblLayout w:type="fixed"/>
          <w:tblCellMar>
            <w:top w:w="0" w:type="dxa"/>
            <w:left w:w="108" w:type="dxa"/>
            <w:bottom w:w="0" w:type="dxa"/>
            <w:right w:w="108" w:type="dxa"/>
          </w:tblCellMar>
        </w:tblPrEx>
        <w:trPr>
          <w:trHeight w:val="750" w:hRule="atLeast"/>
        </w:trPr>
        <w:tc>
          <w:tcPr>
            <w:tcW w:w="2083" w:type="dxa"/>
            <w:vMerge w:val="restart"/>
            <w:tcBorders>
              <w:top w:val="single" w:color="auto" w:sz="4" w:space="0"/>
              <w:left w:val="single" w:color="auto" w:sz="6" w:space="0"/>
              <w:right w:val="single" w:color="auto" w:sz="6" w:space="0"/>
            </w:tcBorders>
            <w:vAlign w:val="center"/>
          </w:tcPr>
          <w:p>
            <w:pPr>
              <w:widowControl w:val="0"/>
              <w:autoSpaceDE w:val="0"/>
              <w:autoSpaceDN w:val="0"/>
              <w:adjustRightInd w:val="0"/>
              <w:snapToGrid w:val="0"/>
              <w:rPr>
                <w:rFonts w:ascii="方正黑体_GBK" w:hAnsi="等线" w:eastAsia="方正黑体_GBK" w:cs="方正黑体_GBK"/>
                <w:color w:val="000000"/>
                <w:sz w:val="28"/>
                <w:szCs w:val="28"/>
              </w:rPr>
            </w:pPr>
            <w:r>
              <w:rPr>
                <w:rFonts w:ascii="方正黑体_GBK" w:hAnsi="等线" w:eastAsia="方正黑体_GBK" w:cs="方正黑体_GBK"/>
                <w:color w:val="000000"/>
                <w:sz w:val="28"/>
                <w:szCs w:val="28"/>
              </w:rPr>
              <w:t>9.</w:t>
            </w:r>
            <w:r>
              <w:rPr>
                <w:rFonts w:hint="eastAsia" w:ascii="方正黑体_GBK" w:hAnsi="等线" w:eastAsia="方正黑体_GBK" w:cs="方正黑体_GBK"/>
                <w:color w:val="000000"/>
                <w:sz w:val="28"/>
                <w:szCs w:val="28"/>
              </w:rPr>
              <w:t>气候适应型建设类</w:t>
            </w:r>
          </w:p>
        </w:tc>
        <w:tc>
          <w:tcPr>
            <w:tcW w:w="2553" w:type="dxa"/>
            <w:vMerge w:val="continue"/>
            <w:tcBorders>
              <w:top w:val="single" w:color="auto" w:sz="4" w:space="0"/>
              <w:left w:val="single" w:color="auto" w:sz="6" w:space="0"/>
              <w:bottom w:val="single" w:color="auto" w:sz="4" w:space="0"/>
              <w:right w:val="single" w:color="auto" w:sz="4"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p>
        </w:tc>
        <w:tc>
          <w:tcPr>
            <w:tcW w:w="907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napToGrid w:val="0"/>
              <w:rPr>
                <w:rFonts w:hint="eastAsia"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生态保护和修复重大工程规划与建设、加强陆地生态系统生物多样性保护等陆地生态系统保护项目</w:t>
            </w:r>
          </w:p>
        </w:tc>
      </w:tr>
      <w:tr>
        <w:tblPrEx>
          <w:tblLayout w:type="fixed"/>
          <w:tblCellMar>
            <w:top w:w="0" w:type="dxa"/>
            <w:left w:w="108" w:type="dxa"/>
            <w:bottom w:w="0" w:type="dxa"/>
            <w:right w:w="108" w:type="dxa"/>
          </w:tblCellMar>
        </w:tblPrEx>
        <w:trPr>
          <w:trHeight w:val="2047" w:hRule="atLeast"/>
        </w:trPr>
        <w:tc>
          <w:tcPr>
            <w:tcW w:w="2083" w:type="dxa"/>
            <w:vMerge w:val="continue"/>
            <w:tcBorders>
              <w:left w:val="single" w:color="auto" w:sz="6" w:space="0"/>
              <w:bottom w:val="single" w:color="auto" w:sz="6" w:space="0"/>
              <w:right w:val="single" w:color="auto" w:sz="6" w:space="0"/>
            </w:tcBorders>
          </w:tcPr>
          <w:p>
            <w:pPr>
              <w:widowControl w:val="0"/>
              <w:autoSpaceDE w:val="0"/>
              <w:autoSpaceDN w:val="0"/>
              <w:adjustRightInd w:val="0"/>
              <w:snapToGrid w:val="0"/>
              <w:rPr>
                <w:rFonts w:ascii="方正黑体_GBK" w:hAnsi="等线" w:eastAsia="方正黑体_GBK" w:cs="方正黑体_GBK"/>
                <w:color w:val="000000"/>
                <w:sz w:val="28"/>
                <w:szCs w:val="28"/>
              </w:rPr>
            </w:pPr>
          </w:p>
        </w:tc>
        <w:tc>
          <w:tcPr>
            <w:tcW w:w="2553" w:type="dxa"/>
            <w:tcBorders>
              <w:top w:val="single" w:color="auto" w:sz="4" w:space="0"/>
              <w:left w:val="single" w:color="auto" w:sz="6" w:space="0"/>
              <w:bottom w:val="single" w:color="auto" w:sz="6" w:space="0"/>
              <w:right w:val="single" w:color="auto" w:sz="6" w:space="0"/>
            </w:tcBorders>
            <w:vAlign w:val="center"/>
          </w:tcPr>
          <w:p>
            <w:pPr>
              <w:widowControl w:val="0"/>
              <w:autoSpaceDE w:val="0"/>
              <w:autoSpaceDN w:val="0"/>
              <w:adjustRightInd w:val="0"/>
              <w:snapToGrid w:val="0"/>
              <w:jc w:val="both"/>
              <w:rPr>
                <w:rFonts w:ascii="方正楷体_GBK" w:hAnsi="等线" w:eastAsia="方正楷体_GBK" w:cs="方正楷体_GBK"/>
                <w:color w:val="000000"/>
                <w:sz w:val="28"/>
                <w:szCs w:val="28"/>
              </w:rPr>
            </w:pPr>
            <w:r>
              <w:rPr>
                <w:rFonts w:ascii="方正楷体_GBK" w:hAnsi="等线" w:eastAsia="方正楷体_GBK" w:cs="方正楷体_GBK"/>
                <w:color w:val="000000"/>
                <w:sz w:val="28"/>
                <w:szCs w:val="28"/>
              </w:rPr>
              <w:t>9.3</w:t>
            </w:r>
            <w:r>
              <w:rPr>
                <w:rFonts w:hint="eastAsia" w:ascii="方正楷体_GBK" w:hAnsi="等线" w:eastAsia="方正楷体_GBK" w:cs="方正楷体_GBK"/>
                <w:color w:val="000000"/>
                <w:sz w:val="28"/>
                <w:szCs w:val="28"/>
              </w:rPr>
              <w:t>强化经济社会系统适应气候变化能力类项目</w:t>
            </w:r>
          </w:p>
        </w:tc>
        <w:tc>
          <w:tcPr>
            <w:tcW w:w="9072" w:type="dxa"/>
            <w:tcBorders>
              <w:top w:val="single" w:color="auto" w:sz="4" w:space="0"/>
              <w:left w:val="single" w:color="auto" w:sz="6" w:space="0"/>
              <w:bottom w:val="single" w:color="auto" w:sz="6" w:space="0"/>
              <w:right w:val="single" w:color="auto" w:sz="6" w:space="0"/>
            </w:tcBorders>
          </w:tcPr>
          <w:p>
            <w:pPr>
              <w:widowControl w:val="0"/>
              <w:autoSpaceDE w:val="0"/>
              <w:autoSpaceDN w:val="0"/>
              <w:adjustRightInd w:val="0"/>
              <w:snapToGrid w:val="0"/>
              <w:jc w:val="both"/>
              <w:rPr>
                <w:rFonts w:ascii="方正仿宋_GBK" w:hAnsi="等线" w:eastAsia="方正仿宋_GBK" w:cs="方正仿宋_GBK"/>
                <w:color w:val="000000"/>
                <w:sz w:val="28"/>
                <w:szCs w:val="28"/>
              </w:rPr>
            </w:pPr>
            <w:r>
              <w:rPr>
                <w:rFonts w:hint="eastAsia" w:ascii="方正仿宋_GBK" w:hAnsi="等线" w:eastAsia="方正仿宋_GBK" w:cs="方正仿宋_GBK"/>
                <w:color w:val="000000"/>
                <w:sz w:val="28"/>
                <w:szCs w:val="28"/>
              </w:rPr>
              <w:t>优化农业气候资源利用格局、强化农业应变减灾工作体系、增强农业生态系统气候韧性和建立适应气候变化的粮食安全保障体系等农业与粮食安全项目</w:t>
            </w:r>
            <w:r>
              <w:rPr>
                <w:rFonts w:hint="eastAsia" w:ascii="方正仿宋_GBK" w:hAnsi="等线" w:eastAsia="方正仿宋_GBK" w:cs="方正仿宋_GBK"/>
                <w:color w:val="000000"/>
                <w:sz w:val="28"/>
                <w:szCs w:val="28"/>
                <w:lang w:eastAsia="zh-CN"/>
              </w:rPr>
              <w:t>；</w:t>
            </w:r>
            <w:r>
              <w:rPr>
                <w:rFonts w:hint="eastAsia" w:ascii="方正仿宋_GBK" w:hAnsi="等线" w:eastAsia="方正仿宋_GBK" w:cs="方正仿宋_GBK"/>
                <w:color w:val="000000"/>
                <w:sz w:val="28"/>
                <w:szCs w:val="28"/>
              </w:rPr>
              <w:t>开展气候变化健康风险和适应能力评估、加强气候敏感疾病的监测预警及防控、增强医疗卫生系统气候韧性和全面推进气候变化健康适应行动等健康与公共卫生项目</w:t>
            </w:r>
            <w:r>
              <w:rPr>
                <w:rFonts w:hint="eastAsia" w:ascii="方正仿宋_GBK" w:hAnsi="等线" w:eastAsia="方正仿宋_GBK" w:cs="方正仿宋_GBK"/>
                <w:color w:val="000000"/>
                <w:sz w:val="28"/>
                <w:szCs w:val="28"/>
                <w:lang w:eastAsia="zh-CN"/>
              </w:rPr>
              <w:t>；</w:t>
            </w:r>
            <w:r>
              <w:rPr>
                <w:rFonts w:hint="eastAsia" w:ascii="方正仿宋_GBK" w:hAnsi="等线" w:eastAsia="方正仿宋_GBK" w:cs="方正仿宋_GBK"/>
                <w:color w:val="000000"/>
                <w:sz w:val="28"/>
                <w:szCs w:val="28"/>
              </w:rPr>
              <w:t>加强基础设施与重大工程气候风险管理、推动基础设施与重大工程气候韧性建设、完善基础设施与重大工程技术标准体系和突破基础设施与重大工程关键适应技术等基础设施与重大工程</w:t>
            </w:r>
            <w:r>
              <w:rPr>
                <w:rFonts w:hint="eastAsia" w:ascii="方正仿宋_GBK" w:hAnsi="等线" w:eastAsia="方正仿宋_GBK" w:cs="方正仿宋_GBK"/>
                <w:color w:val="000000"/>
                <w:sz w:val="28"/>
                <w:szCs w:val="28"/>
                <w:lang w:eastAsia="zh-CN"/>
              </w:rPr>
              <w:t>；</w:t>
            </w:r>
            <w:r>
              <w:rPr>
                <w:rFonts w:hint="eastAsia" w:ascii="方正仿宋_GBK" w:hAnsi="等线" w:eastAsia="方正仿宋_GBK" w:cs="方正仿宋_GBK"/>
                <w:color w:val="000000"/>
                <w:sz w:val="28"/>
                <w:szCs w:val="28"/>
              </w:rPr>
              <w:t>强化城市气候风险评估、调整优化城市功能布局、保障城市基础设施安全运行、完善城市生态系统服务功能、加强城市洪涝防御能力建设与供水保障和提升城市气候风险应对能力等城市与人居环境项目</w:t>
            </w:r>
            <w:r>
              <w:rPr>
                <w:rFonts w:hint="eastAsia" w:ascii="方正仿宋_GBK" w:hAnsi="等线" w:eastAsia="方正仿宋_GBK" w:cs="方正仿宋_GBK"/>
                <w:color w:val="000000"/>
                <w:sz w:val="28"/>
                <w:szCs w:val="28"/>
                <w:lang w:eastAsia="zh-CN"/>
              </w:rPr>
              <w:t>；</w:t>
            </w:r>
            <w:r>
              <w:rPr>
                <w:rFonts w:hint="eastAsia" w:ascii="方正仿宋_GBK" w:hAnsi="等线" w:eastAsia="方正仿宋_GBK" w:cs="方正仿宋_GBK"/>
                <w:color w:val="000000"/>
                <w:sz w:val="28"/>
                <w:szCs w:val="28"/>
              </w:rPr>
              <w:t>提升气象服务保障能力、防范气候相关金融风险、提高能源行业气候韧性、发展气候适应型旅游业和加强交通防灾和应急保障等敏感二三产业项目</w:t>
            </w:r>
          </w:p>
        </w:tc>
      </w:tr>
    </w:tbl>
    <w:p>
      <w:pPr>
        <w:widowControl w:val="0"/>
        <w:adjustRightInd w:val="0"/>
        <w:snapToGrid w:val="0"/>
        <w:jc w:val="both"/>
        <w:rPr>
          <w:rFonts w:ascii="方正楷体_GBK" w:hAnsi="等线" w:eastAsia="方正楷体_GBK"/>
          <w:kern w:val="2"/>
          <w:sz w:val="21"/>
          <w:szCs w:val="22"/>
        </w:rPr>
      </w:pPr>
    </w:p>
    <w:p>
      <w:pPr>
        <w:widowControl w:val="0"/>
        <w:spacing w:line="600" w:lineRule="exact"/>
        <w:outlineLvl w:val="0"/>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8444103"/>
      <w:docPartObj>
        <w:docPartGallery w:val="autotext"/>
      </w:docPartObj>
    </w:sdtPr>
    <w:sdtEndPr>
      <w:rPr>
        <w:rFonts w:ascii="Times New Roman" w:hAnsi="Times New Roman"/>
        <w:sz w:val="28"/>
        <w:szCs w:val="28"/>
      </w:rPr>
    </w:sdtEndPr>
    <w:sdtContent>
      <w:p>
        <w:pPr>
          <w:pStyle w:val="12"/>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p>
    </w:sdtContent>
  </w:sdt>
  <w:p>
    <w:pPr>
      <w:pStyle w:val="12"/>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7287410"/>
    </w:sdtPr>
    <w:sdtContent>
      <w:p>
        <w:pPr>
          <w:pStyle w:val="12"/>
        </w:pPr>
        <w:r>
          <w:fldChar w:fldCharType="begin"/>
        </w:r>
        <w:r>
          <w:instrText xml:space="preserve">PAGE   \* MERGEFORMAT</w:instrText>
        </w:r>
        <w:r>
          <w:fldChar w:fldCharType="separate"/>
        </w:r>
        <w:r>
          <w:rPr>
            <w:lang w:val="zh-CN"/>
          </w:rPr>
          <w:t>2</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F48F4"/>
    <w:multiLevelType w:val="multilevel"/>
    <w:tmpl w:val="784F48F4"/>
    <w:lvl w:ilvl="0" w:tentative="0">
      <w:start w:val="1"/>
      <w:numFmt w:val="japaneseCounting"/>
      <w:pStyle w:val="47"/>
      <w:lvlText w:val="第%1章"/>
      <w:lvlJc w:val="left"/>
      <w:pPr>
        <w:ind w:left="1983" w:hanging="1260"/>
      </w:pPr>
      <w:rPr>
        <w:rFonts w:hint="default"/>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ED"/>
    <w:rsid w:val="00001729"/>
    <w:rsid w:val="000056EA"/>
    <w:rsid w:val="000621D4"/>
    <w:rsid w:val="0009612C"/>
    <w:rsid w:val="000964AE"/>
    <w:rsid w:val="000F39DE"/>
    <w:rsid w:val="00165AE2"/>
    <w:rsid w:val="00180282"/>
    <w:rsid w:val="0018485E"/>
    <w:rsid w:val="001F04FA"/>
    <w:rsid w:val="00205D92"/>
    <w:rsid w:val="002E47EC"/>
    <w:rsid w:val="00303C43"/>
    <w:rsid w:val="00374FF8"/>
    <w:rsid w:val="003F7F54"/>
    <w:rsid w:val="004A7279"/>
    <w:rsid w:val="004D0CF8"/>
    <w:rsid w:val="005324EE"/>
    <w:rsid w:val="00534864"/>
    <w:rsid w:val="005906D2"/>
    <w:rsid w:val="005928EB"/>
    <w:rsid w:val="00594B28"/>
    <w:rsid w:val="005C1C96"/>
    <w:rsid w:val="005D5DE7"/>
    <w:rsid w:val="00613371"/>
    <w:rsid w:val="006520BD"/>
    <w:rsid w:val="00692BA3"/>
    <w:rsid w:val="006E29ED"/>
    <w:rsid w:val="0072457A"/>
    <w:rsid w:val="008042B5"/>
    <w:rsid w:val="0085746B"/>
    <w:rsid w:val="0099493E"/>
    <w:rsid w:val="009C6DDB"/>
    <w:rsid w:val="009C7DD4"/>
    <w:rsid w:val="00A96200"/>
    <w:rsid w:val="00AB3EA4"/>
    <w:rsid w:val="00AF1189"/>
    <w:rsid w:val="00BC2BA1"/>
    <w:rsid w:val="00BE2877"/>
    <w:rsid w:val="00BE73D3"/>
    <w:rsid w:val="00C63F0A"/>
    <w:rsid w:val="00C726A8"/>
    <w:rsid w:val="00C95E11"/>
    <w:rsid w:val="00D45C2B"/>
    <w:rsid w:val="00D61977"/>
    <w:rsid w:val="00E031FC"/>
    <w:rsid w:val="00E9642F"/>
    <w:rsid w:val="00EB1D3F"/>
    <w:rsid w:val="00EC40FA"/>
    <w:rsid w:val="00FF1E0B"/>
    <w:rsid w:val="03711BA6"/>
    <w:rsid w:val="08AC0589"/>
    <w:rsid w:val="21217FA1"/>
    <w:rsid w:val="2DDD4E74"/>
    <w:rsid w:val="33F91F19"/>
    <w:rsid w:val="3C9FE987"/>
    <w:rsid w:val="3DFC41EF"/>
    <w:rsid w:val="577C350D"/>
    <w:rsid w:val="604D70F4"/>
    <w:rsid w:val="DE7F61D5"/>
    <w:rsid w:val="DFF70AD1"/>
    <w:rsid w:val="F73F6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22"/>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3"/>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4"/>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5"/>
    <w:unhideWhenUsed/>
    <w:qFormat/>
    <w:uiPriority w:val="9"/>
    <w:pPr>
      <w:keepNext/>
      <w:spacing w:before="240" w:after="60"/>
      <w:outlineLvl w:val="3"/>
    </w:pPr>
    <w:rPr>
      <w:b/>
      <w:bCs/>
      <w:sz w:val="28"/>
      <w:szCs w:val="28"/>
    </w:rPr>
  </w:style>
  <w:style w:type="paragraph" w:styleId="6">
    <w:name w:val="heading 5"/>
    <w:basedOn w:val="1"/>
    <w:next w:val="1"/>
    <w:link w:val="26"/>
    <w:unhideWhenUsed/>
    <w:qFormat/>
    <w:uiPriority w:val="9"/>
    <w:pPr>
      <w:spacing w:before="240" w:after="60"/>
      <w:outlineLvl w:val="4"/>
    </w:pPr>
    <w:rPr>
      <w:b/>
      <w:bCs/>
      <w:i/>
      <w:iCs/>
      <w:sz w:val="26"/>
      <w:szCs w:val="26"/>
    </w:rPr>
  </w:style>
  <w:style w:type="paragraph" w:styleId="7">
    <w:name w:val="heading 6"/>
    <w:basedOn w:val="1"/>
    <w:next w:val="1"/>
    <w:link w:val="27"/>
    <w:unhideWhenUsed/>
    <w:qFormat/>
    <w:uiPriority w:val="9"/>
    <w:pPr>
      <w:spacing w:before="240" w:after="60"/>
      <w:outlineLvl w:val="5"/>
    </w:pPr>
    <w:rPr>
      <w:b/>
      <w:bCs/>
      <w:sz w:val="22"/>
      <w:szCs w:val="22"/>
    </w:rPr>
  </w:style>
  <w:style w:type="paragraph" w:styleId="8">
    <w:name w:val="heading 7"/>
    <w:basedOn w:val="1"/>
    <w:next w:val="1"/>
    <w:link w:val="28"/>
    <w:unhideWhenUsed/>
    <w:qFormat/>
    <w:uiPriority w:val="9"/>
    <w:pPr>
      <w:spacing w:before="240" w:after="60"/>
      <w:outlineLvl w:val="6"/>
    </w:pPr>
  </w:style>
  <w:style w:type="paragraph" w:styleId="9">
    <w:name w:val="heading 8"/>
    <w:basedOn w:val="1"/>
    <w:next w:val="1"/>
    <w:link w:val="29"/>
    <w:unhideWhenUsed/>
    <w:qFormat/>
    <w:uiPriority w:val="9"/>
    <w:pPr>
      <w:spacing w:before="240" w:after="60"/>
      <w:outlineLvl w:val="7"/>
    </w:pPr>
    <w:rPr>
      <w:i/>
      <w:iCs/>
    </w:rPr>
  </w:style>
  <w:style w:type="paragraph" w:styleId="10">
    <w:name w:val="heading 9"/>
    <w:basedOn w:val="1"/>
    <w:next w:val="1"/>
    <w:link w:val="30"/>
    <w:unhideWhenUsed/>
    <w:qFormat/>
    <w:uiPriority w:val="9"/>
    <w:pPr>
      <w:spacing w:before="240" w:after="60"/>
      <w:outlineLvl w:val="8"/>
    </w:pPr>
    <w:rPr>
      <w:rFonts w:asciiTheme="majorHAnsi" w:hAnsiTheme="majorHAnsi" w:eastAsiaTheme="majorEastAsia"/>
      <w:sz w:val="22"/>
      <w:szCs w:val="2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8"/>
    <w:unhideWhenUsed/>
    <w:qFormat/>
    <w:uiPriority w:val="99"/>
    <w:rPr>
      <w:sz w:val="18"/>
      <w:szCs w:val="18"/>
    </w:rPr>
  </w:style>
  <w:style w:type="paragraph" w:styleId="12">
    <w:name w:val="footer"/>
    <w:basedOn w:val="1"/>
    <w:link w:val="46"/>
    <w:unhideWhenUsed/>
    <w:qFormat/>
    <w:uiPriority w:val="99"/>
    <w:pPr>
      <w:tabs>
        <w:tab w:val="center" w:pos="4153"/>
        <w:tab w:val="right" w:pos="8306"/>
      </w:tabs>
      <w:snapToGrid w:val="0"/>
    </w:pPr>
    <w:rPr>
      <w:sz w:val="18"/>
      <w:szCs w:val="18"/>
    </w:rPr>
  </w:style>
  <w:style w:type="paragraph" w:styleId="13">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Subtitle"/>
    <w:basedOn w:val="1"/>
    <w:next w:val="1"/>
    <w:link w:val="32"/>
    <w:qFormat/>
    <w:uiPriority w:val="11"/>
    <w:pPr>
      <w:spacing w:after="60"/>
      <w:jc w:val="center"/>
      <w:outlineLvl w:val="1"/>
    </w:pPr>
    <w:rPr>
      <w:rFonts w:asciiTheme="majorHAnsi" w:hAnsiTheme="majorHAnsi" w:eastAsiaTheme="majorEastAsia"/>
    </w:rPr>
  </w:style>
  <w:style w:type="paragraph" w:styleId="16">
    <w:name w:val="Title"/>
    <w:basedOn w:val="1"/>
    <w:next w:val="1"/>
    <w:link w:val="31"/>
    <w:qFormat/>
    <w:uiPriority w:val="10"/>
    <w:pPr>
      <w:spacing w:before="240" w:after="60"/>
      <w:jc w:val="center"/>
      <w:outlineLvl w:val="0"/>
    </w:pPr>
    <w:rPr>
      <w:rFonts w:asciiTheme="majorHAnsi" w:hAnsiTheme="majorHAnsi" w:eastAsiaTheme="majorEastAsia"/>
      <w:b/>
      <w:bCs/>
      <w:kern w:val="28"/>
      <w:sz w:val="32"/>
      <w:szCs w:val="32"/>
    </w:rPr>
  </w:style>
  <w:style w:type="table" w:styleId="18">
    <w:name w:val="Table Grid"/>
    <w:basedOn w:val="17"/>
    <w:qFormat/>
    <w:uiPriority w:val="3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basedOn w:val="19"/>
    <w:qFormat/>
    <w:uiPriority w:val="22"/>
    <w:rPr>
      <w:b/>
      <w:bCs/>
    </w:rPr>
  </w:style>
  <w:style w:type="character" w:styleId="21">
    <w:name w:val="Emphasis"/>
    <w:basedOn w:val="19"/>
    <w:qFormat/>
    <w:uiPriority w:val="20"/>
    <w:rPr>
      <w:rFonts w:asciiTheme="minorHAnsi" w:hAnsiTheme="minorHAnsi"/>
      <w:b/>
      <w:i/>
      <w:iCs/>
    </w:rPr>
  </w:style>
  <w:style w:type="character" w:customStyle="1" w:styleId="22">
    <w:name w:val="标题 1 字符"/>
    <w:basedOn w:val="19"/>
    <w:link w:val="2"/>
    <w:qFormat/>
    <w:uiPriority w:val="9"/>
    <w:rPr>
      <w:rFonts w:asciiTheme="majorHAnsi" w:hAnsiTheme="majorHAnsi" w:eastAsiaTheme="majorEastAsia"/>
      <w:b/>
      <w:bCs/>
      <w:kern w:val="32"/>
      <w:sz w:val="32"/>
      <w:szCs w:val="32"/>
    </w:rPr>
  </w:style>
  <w:style w:type="character" w:customStyle="1" w:styleId="23">
    <w:name w:val="标题 2 字符"/>
    <w:basedOn w:val="19"/>
    <w:link w:val="3"/>
    <w:semiHidden/>
    <w:qFormat/>
    <w:uiPriority w:val="9"/>
    <w:rPr>
      <w:rFonts w:asciiTheme="majorHAnsi" w:hAnsiTheme="majorHAnsi" w:eastAsiaTheme="majorEastAsia"/>
      <w:b/>
      <w:bCs/>
      <w:i/>
      <w:iCs/>
      <w:sz w:val="28"/>
      <w:szCs w:val="28"/>
    </w:rPr>
  </w:style>
  <w:style w:type="character" w:customStyle="1" w:styleId="24">
    <w:name w:val="标题 3 字符"/>
    <w:basedOn w:val="19"/>
    <w:link w:val="4"/>
    <w:semiHidden/>
    <w:qFormat/>
    <w:uiPriority w:val="9"/>
    <w:rPr>
      <w:rFonts w:asciiTheme="majorHAnsi" w:hAnsiTheme="majorHAnsi" w:eastAsiaTheme="majorEastAsia"/>
      <w:b/>
      <w:bCs/>
      <w:sz w:val="26"/>
      <w:szCs w:val="26"/>
    </w:rPr>
  </w:style>
  <w:style w:type="character" w:customStyle="1" w:styleId="25">
    <w:name w:val="标题 4 字符"/>
    <w:basedOn w:val="19"/>
    <w:link w:val="5"/>
    <w:semiHidden/>
    <w:qFormat/>
    <w:uiPriority w:val="9"/>
    <w:rPr>
      <w:b/>
      <w:bCs/>
      <w:sz w:val="28"/>
      <w:szCs w:val="28"/>
    </w:rPr>
  </w:style>
  <w:style w:type="character" w:customStyle="1" w:styleId="26">
    <w:name w:val="标题 5 字符"/>
    <w:basedOn w:val="19"/>
    <w:link w:val="6"/>
    <w:semiHidden/>
    <w:qFormat/>
    <w:uiPriority w:val="9"/>
    <w:rPr>
      <w:b/>
      <w:bCs/>
      <w:i/>
      <w:iCs/>
      <w:sz w:val="26"/>
      <w:szCs w:val="26"/>
    </w:rPr>
  </w:style>
  <w:style w:type="character" w:customStyle="1" w:styleId="27">
    <w:name w:val="标题 6 字符"/>
    <w:basedOn w:val="19"/>
    <w:link w:val="7"/>
    <w:semiHidden/>
    <w:qFormat/>
    <w:uiPriority w:val="9"/>
    <w:rPr>
      <w:b/>
      <w:bCs/>
    </w:rPr>
  </w:style>
  <w:style w:type="character" w:customStyle="1" w:styleId="28">
    <w:name w:val="标题 7 字符"/>
    <w:basedOn w:val="19"/>
    <w:link w:val="8"/>
    <w:semiHidden/>
    <w:qFormat/>
    <w:uiPriority w:val="9"/>
    <w:rPr>
      <w:sz w:val="24"/>
      <w:szCs w:val="24"/>
    </w:rPr>
  </w:style>
  <w:style w:type="character" w:customStyle="1" w:styleId="29">
    <w:name w:val="标题 8 字符"/>
    <w:basedOn w:val="19"/>
    <w:link w:val="9"/>
    <w:semiHidden/>
    <w:qFormat/>
    <w:uiPriority w:val="9"/>
    <w:rPr>
      <w:i/>
      <w:iCs/>
      <w:sz w:val="24"/>
      <w:szCs w:val="24"/>
    </w:rPr>
  </w:style>
  <w:style w:type="character" w:customStyle="1" w:styleId="30">
    <w:name w:val="标题 9 字符"/>
    <w:basedOn w:val="19"/>
    <w:link w:val="10"/>
    <w:semiHidden/>
    <w:qFormat/>
    <w:uiPriority w:val="9"/>
    <w:rPr>
      <w:rFonts w:asciiTheme="majorHAnsi" w:hAnsiTheme="majorHAnsi" w:eastAsiaTheme="majorEastAsia"/>
    </w:rPr>
  </w:style>
  <w:style w:type="character" w:customStyle="1" w:styleId="31">
    <w:name w:val="标题 字符"/>
    <w:basedOn w:val="19"/>
    <w:link w:val="16"/>
    <w:qFormat/>
    <w:uiPriority w:val="10"/>
    <w:rPr>
      <w:rFonts w:asciiTheme="majorHAnsi" w:hAnsiTheme="majorHAnsi" w:eastAsiaTheme="majorEastAsia"/>
      <w:b/>
      <w:bCs/>
      <w:kern w:val="28"/>
      <w:sz w:val="32"/>
      <w:szCs w:val="32"/>
    </w:rPr>
  </w:style>
  <w:style w:type="character" w:customStyle="1" w:styleId="32">
    <w:name w:val="副标题 字符"/>
    <w:basedOn w:val="19"/>
    <w:link w:val="15"/>
    <w:qFormat/>
    <w:uiPriority w:val="11"/>
    <w:rPr>
      <w:rFonts w:asciiTheme="majorHAnsi" w:hAnsiTheme="majorHAnsi" w:eastAsiaTheme="majorEastAsia"/>
      <w:sz w:val="24"/>
      <w:szCs w:val="24"/>
    </w:rPr>
  </w:style>
  <w:style w:type="paragraph" w:customStyle="1" w:styleId="33">
    <w:name w:val="无间隔1"/>
    <w:basedOn w:val="1"/>
    <w:qFormat/>
    <w:uiPriority w:val="1"/>
    <w:rPr>
      <w:szCs w:val="32"/>
    </w:rPr>
  </w:style>
  <w:style w:type="paragraph" w:customStyle="1" w:styleId="34">
    <w:name w:val="列表段落1"/>
    <w:basedOn w:val="1"/>
    <w:qFormat/>
    <w:uiPriority w:val="34"/>
    <w:pPr>
      <w:ind w:left="720"/>
      <w:contextualSpacing/>
    </w:pPr>
  </w:style>
  <w:style w:type="paragraph" w:customStyle="1" w:styleId="35">
    <w:name w:val="引用1"/>
    <w:basedOn w:val="1"/>
    <w:next w:val="1"/>
    <w:link w:val="36"/>
    <w:qFormat/>
    <w:uiPriority w:val="29"/>
    <w:rPr>
      <w:i/>
    </w:rPr>
  </w:style>
  <w:style w:type="character" w:customStyle="1" w:styleId="36">
    <w:name w:val="引用 Char"/>
    <w:basedOn w:val="19"/>
    <w:link w:val="35"/>
    <w:qFormat/>
    <w:uiPriority w:val="29"/>
    <w:rPr>
      <w:i/>
      <w:sz w:val="24"/>
      <w:szCs w:val="24"/>
    </w:rPr>
  </w:style>
  <w:style w:type="paragraph" w:customStyle="1" w:styleId="37">
    <w:name w:val="明显引用1"/>
    <w:basedOn w:val="1"/>
    <w:next w:val="1"/>
    <w:link w:val="38"/>
    <w:qFormat/>
    <w:uiPriority w:val="30"/>
    <w:pPr>
      <w:ind w:left="720" w:right="720"/>
    </w:pPr>
    <w:rPr>
      <w:b/>
      <w:i/>
      <w:szCs w:val="22"/>
    </w:rPr>
  </w:style>
  <w:style w:type="character" w:customStyle="1" w:styleId="38">
    <w:name w:val="明显引用 Char"/>
    <w:basedOn w:val="19"/>
    <w:link w:val="37"/>
    <w:qFormat/>
    <w:uiPriority w:val="30"/>
    <w:rPr>
      <w:b/>
      <w:i/>
      <w:sz w:val="24"/>
    </w:rPr>
  </w:style>
  <w:style w:type="character" w:customStyle="1" w:styleId="39">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40">
    <w:name w:val="明显强调1"/>
    <w:basedOn w:val="19"/>
    <w:qFormat/>
    <w:uiPriority w:val="21"/>
    <w:rPr>
      <w:b/>
      <w:i/>
      <w:sz w:val="24"/>
      <w:szCs w:val="24"/>
      <w:u w:val="single"/>
    </w:rPr>
  </w:style>
  <w:style w:type="character" w:customStyle="1" w:styleId="41">
    <w:name w:val="不明显参考1"/>
    <w:basedOn w:val="19"/>
    <w:qFormat/>
    <w:uiPriority w:val="31"/>
    <w:rPr>
      <w:sz w:val="24"/>
      <w:szCs w:val="24"/>
      <w:u w:val="single"/>
    </w:rPr>
  </w:style>
  <w:style w:type="character" w:customStyle="1" w:styleId="42">
    <w:name w:val="明显参考1"/>
    <w:basedOn w:val="19"/>
    <w:qFormat/>
    <w:uiPriority w:val="32"/>
    <w:rPr>
      <w:b/>
      <w:sz w:val="24"/>
      <w:u w:val="single"/>
    </w:rPr>
  </w:style>
  <w:style w:type="character" w:customStyle="1" w:styleId="43">
    <w:name w:val="书籍标题1"/>
    <w:basedOn w:val="19"/>
    <w:qFormat/>
    <w:uiPriority w:val="33"/>
    <w:rPr>
      <w:rFonts w:asciiTheme="majorHAnsi" w:hAnsiTheme="majorHAnsi" w:eastAsiaTheme="majorEastAsia"/>
      <w:b/>
      <w:i/>
      <w:sz w:val="24"/>
      <w:szCs w:val="24"/>
    </w:rPr>
  </w:style>
  <w:style w:type="paragraph" w:customStyle="1" w:styleId="44">
    <w:name w:val="TOC 标题1"/>
    <w:basedOn w:val="2"/>
    <w:next w:val="1"/>
    <w:unhideWhenUsed/>
    <w:qFormat/>
    <w:uiPriority w:val="39"/>
    <w:pPr>
      <w:outlineLvl w:val="9"/>
    </w:pPr>
  </w:style>
  <w:style w:type="character" w:customStyle="1" w:styleId="45">
    <w:name w:val="页眉 字符"/>
    <w:basedOn w:val="19"/>
    <w:link w:val="13"/>
    <w:qFormat/>
    <w:uiPriority w:val="99"/>
    <w:rPr>
      <w:sz w:val="18"/>
      <w:szCs w:val="18"/>
    </w:rPr>
  </w:style>
  <w:style w:type="character" w:customStyle="1" w:styleId="46">
    <w:name w:val="页脚 字符"/>
    <w:basedOn w:val="19"/>
    <w:link w:val="12"/>
    <w:qFormat/>
    <w:uiPriority w:val="99"/>
    <w:rPr>
      <w:sz w:val="18"/>
      <w:szCs w:val="18"/>
    </w:rPr>
  </w:style>
  <w:style w:type="paragraph" w:customStyle="1" w:styleId="47">
    <w:name w:val="Char"/>
    <w:basedOn w:val="1"/>
    <w:qFormat/>
    <w:uiPriority w:val="0"/>
    <w:pPr>
      <w:widowControl w:val="0"/>
      <w:numPr>
        <w:ilvl w:val="0"/>
        <w:numId w:val="1"/>
      </w:numPr>
      <w:ind w:firstLine="0"/>
      <w:jc w:val="both"/>
    </w:pPr>
    <w:rPr>
      <w:rFonts w:ascii="Times New Roman" w:hAnsi="Times New Roman" w:eastAsia="宋体"/>
      <w:kern w:val="2"/>
    </w:rPr>
  </w:style>
  <w:style w:type="character" w:customStyle="1" w:styleId="48">
    <w:name w:val="批注框文本 字符"/>
    <w:basedOn w:val="19"/>
    <w:link w:val="11"/>
    <w:semiHidden/>
    <w:qFormat/>
    <w:uiPriority w:val="99"/>
    <w:rPr>
      <w:sz w:val="18"/>
      <w:szCs w:val="18"/>
    </w:rPr>
  </w:style>
  <w:style w:type="paragraph" w:customStyle="1" w:styleId="49">
    <w:name w:val="附录表标题"/>
    <w:basedOn w:val="1"/>
    <w:next w:val="1"/>
    <w:qFormat/>
    <w:uiPriority w:val="0"/>
    <w:pPr>
      <w:tabs>
        <w:tab w:val="left" w:pos="0"/>
        <w:tab w:val="left" w:pos="180"/>
      </w:tabs>
      <w:spacing w:before="50" w:beforeLines="50" w:after="50" w:afterLines="50"/>
      <w:jc w:val="center"/>
    </w:pPr>
    <w:rPr>
      <w:rFonts w:ascii="黑体" w:eastAsia="黑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446</Words>
  <Characters>2546</Characters>
  <Lines>21</Lines>
  <Paragraphs>5</Paragraphs>
  <TotalTime>18</TotalTime>
  <ScaleCrop>false</ScaleCrop>
  <LinksUpToDate>false</LinksUpToDate>
  <CharactersWithSpaces>2987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2023-04-05T03:46:00Z</dcterms:created>
  <dc:creator>两江新区分局_两江新区总量科_许伟</dc:creator>
  <cp:lastModifiedBy>Administrator</cp:lastModifiedBy>
  <cp:lastPrinted>2023-01-30T17:27:00Z</cp:lastPrinted>
  <dcterms:modified xsi:type="dcterms:W3CDTF">2023-04-20T02:31:09Z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