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600" w:lineRule="exact"/>
        <w:ind w:firstLine="640" w:firstLineChars="200"/>
        <w:rPr>
          <w:rFonts w:ascii="方正黑体_GBK" w:hAnsi="方正小标宋_GBK" w:eastAsia="方正黑体_GBK" w:cs="方正小标宋_GBK"/>
          <w:szCs w:val="32"/>
        </w:rPr>
      </w:pPr>
      <w:r>
        <w:rPr>
          <w:rFonts w:hint="eastAsia" w:ascii="方正黑体_GBK" w:hAnsi="方正小标宋_GBK" w:eastAsia="方正黑体_GBK" w:cs="方正小标宋_GBK"/>
          <w:szCs w:val="32"/>
        </w:rPr>
        <w:t>十九、安全生产领域基层政务公开标准目录</w:t>
      </w:r>
    </w:p>
    <w:tbl>
      <w:tblPr>
        <w:tblStyle w:val="6"/>
        <w:tblW w:w="15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622"/>
        <w:gridCol w:w="651"/>
        <w:gridCol w:w="3056"/>
        <w:gridCol w:w="1317"/>
        <w:gridCol w:w="1075"/>
        <w:gridCol w:w="1118"/>
        <w:gridCol w:w="2774"/>
        <w:gridCol w:w="594"/>
        <w:gridCol w:w="637"/>
        <w:gridCol w:w="594"/>
        <w:gridCol w:w="637"/>
        <w:gridCol w:w="802"/>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455" w:type="dxa"/>
            <w:vMerge w:val="restart"/>
            <w:vAlign w:val="center"/>
          </w:tcPr>
          <w:p>
            <w:pPr>
              <w:overflowPunct w:val="0"/>
              <w:snapToGrid w:val="0"/>
              <w:spacing w:line="200" w:lineRule="exact"/>
              <w:jc w:val="left"/>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序号</w:t>
            </w:r>
          </w:p>
        </w:tc>
        <w:tc>
          <w:tcPr>
            <w:tcW w:w="1273"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公开事项</w:t>
            </w:r>
          </w:p>
        </w:tc>
        <w:tc>
          <w:tcPr>
            <w:tcW w:w="3056"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公开内容</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(要素)</w:t>
            </w:r>
          </w:p>
        </w:tc>
        <w:tc>
          <w:tcPr>
            <w:tcW w:w="1317"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公开依据</w:t>
            </w:r>
          </w:p>
        </w:tc>
        <w:tc>
          <w:tcPr>
            <w:tcW w:w="1075"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时限</w:t>
            </w:r>
          </w:p>
        </w:tc>
        <w:tc>
          <w:tcPr>
            <w:tcW w:w="1118"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w:t>
            </w:r>
            <w:r>
              <w:rPr>
                <w:rFonts w:hint="eastAsia" w:ascii="方正黑体_GBK" w:hAnsi="方正黑体_GBK" w:eastAsia="方正黑体_GBK" w:cs="方正黑体_GBK"/>
                <w:color w:val="000000" w:themeColor="text1"/>
                <w:kern w:val="0"/>
                <w:sz w:val="18"/>
                <w:szCs w:val="18"/>
                <w14:textFill>
                  <w14:solidFill>
                    <w14:schemeClr w14:val="tx1"/>
                  </w14:solidFill>
                </w14:textFill>
              </w:rPr>
              <w:br w:type="textWrapping"/>
            </w:r>
            <w:r>
              <w:rPr>
                <w:rFonts w:hint="eastAsia" w:ascii="方正黑体_GBK" w:hAnsi="方正黑体_GBK" w:eastAsia="方正黑体_GBK" w:cs="方正黑体_GBK"/>
                <w:color w:val="000000" w:themeColor="text1"/>
                <w:kern w:val="0"/>
                <w:sz w:val="18"/>
                <w:szCs w:val="18"/>
                <w14:textFill>
                  <w14:solidFill>
                    <w14:schemeClr w14:val="tx1"/>
                  </w14:solidFill>
                </w14:textFill>
              </w:rPr>
              <w:t>主体</w:t>
            </w:r>
          </w:p>
        </w:tc>
        <w:tc>
          <w:tcPr>
            <w:tcW w:w="2774" w:type="dxa"/>
            <w:vMerge w:val="restart"/>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公开渠道和载体</w:t>
            </w:r>
          </w:p>
        </w:tc>
        <w:tc>
          <w:tcPr>
            <w:tcW w:w="1231"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公开对象</w:t>
            </w:r>
          </w:p>
        </w:tc>
        <w:tc>
          <w:tcPr>
            <w:tcW w:w="1231"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公开方式</w:t>
            </w:r>
          </w:p>
        </w:tc>
        <w:tc>
          <w:tcPr>
            <w:tcW w:w="1627" w:type="dxa"/>
            <w:gridSpan w:val="2"/>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jc w:val="center"/>
        </w:trPr>
        <w:tc>
          <w:tcPr>
            <w:tcW w:w="455"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622"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一级   事项</w:t>
            </w:r>
          </w:p>
        </w:tc>
        <w:tc>
          <w:tcPr>
            <w:tcW w:w="651"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二级       事项</w:t>
            </w:r>
          </w:p>
        </w:tc>
        <w:tc>
          <w:tcPr>
            <w:tcW w:w="3056"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317"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075"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1118"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2774" w:type="dxa"/>
            <w:vMerge w:val="continue"/>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p>
        </w:tc>
        <w:tc>
          <w:tcPr>
            <w:tcW w:w="594"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全</w:t>
            </w:r>
          </w:p>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社会</w:t>
            </w:r>
          </w:p>
        </w:tc>
        <w:tc>
          <w:tcPr>
            <w:tcW w:w="637"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特定</w:t>
            </w:r>
          </w:p>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群体</w:t>
            </w:r>
          </w:p>
        </w:tc>
        <w:tc>
          <w:tcPr>
            <w:tcW w:w="594"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主动公开</w:t>
            </w:r>
          </w:p>
        </w:tc>
        <w:tc>
          <w:tcPr>
            <w:tcW w:w="637"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依申请公开</w:t>
            </w:r>
          </w:p>
        </w:tc>
        <w:tc>
          <w:tcPr>
            <w:tcW w:w="802"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区县级</w:t>
            </w:r>
          </w:p>
        </w:tc>
        <w:tc>
          <w:tcPr>
            <w:tcW w:w="825" w:type="dxa"/>
            <w:vAlign w:val="center"/>
          </w:tcPr>
          <w:p>
            <w:pPr>
              <w:overflowPunct w:val="0"/>
              <w:snapToGrid w:val="0"/>
              <w:spacing w:line="200" w:lineRule="exact"/>
              <w:jc w:val="center"/>
              <w:rPr>
                <w:rFonts w:ascii="方正黑体_GBK" w:hAnsi="方正黑体_GBK" w:eastAsia="方正黑体_GBK" w:cs="方正黑体_GBK"/>
                <w:color w:val="000000" w:themeColor="text1"/>
                <w:kern w:val="0"/>
                <w:sz w:val="18"/>
                <w:szCs w:val="18"/>
                <w14:textFill>
                  <w14:solidFill>
                    <w14:schemeClr w14:val="tx1"/>
                  </w14:solidFill>
                </w14:textFill>
              </w:rPr>
            </w:pPr>
            <w:r>
              <w:rPr>
                <w:rFonts w:hint="eastAsia" w:ascii="方正黑体_GBK" w:hAnsi="方正黑体_GBK" w:eastAsia="方正黑体_GBK" w:cs="方正黑体_GBK"/>
                <w:color w:val="000000" w:themeColor="text1"/>
                <w:kern w:val="0"/>
                <w:sz w:val="18"/>
                <w:szCs w:val="18"/>
                <w14:textFill>
                  <w14:solidFill>
                    <w14:schemeClr w14:val="tx1"/>
                  </w14:solidFill>
                </w14:textFill>
              </w:rPr>
              <w:t>乡镇级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1</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政策文件</w:t>
            </w: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法律法规</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与安全生产有关的法律、法规</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restart"/>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                          □</w:t>
            </w:r>
            <w:r>
              <w:rPr>
                <w:rFonts w:hint="eastAsia" w:ascii="方正仿宋_GBK" w:hAnsi="方正仿宋_GBK" w:cs="方正仿宋_GBK"/>
                <w:color w:val="000000"/>
                <w:w w:val="90"/>
                <w:kern w:val="0"/>
                <w:sz w:val="18"/>
                <w:szCs w:val="18"/>
                <w:lang w:bidi="ar"/>
              </w:rPr>
              <w:t>社区/企事业单位、村公示栏（电子屏）</w:t>
            </w:r>
            <w:r>
              <w:rPr>
                <w:rFonts w:hint="eastAsia" w:ascii="方正仿宋_GBK" w:hAnsi="方正仿宋_GBK" w:cs="方正仿宋_GBK"/>
                <w:color w:val="000000"/>
                <w:w w:val="9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2</w:t>
            </w:r>
          </w:p>
        </w:tc>
        <w:tc>
          <w:tcPr>
            <w:tcW w:w="622" w:type="dxa"/>
            <w:vMerge w:val="continue"/>
            <w:vAlign w:val="center"/>
          </w:tcPr>
          <w:p>
            <w:pPr>
              <w:spacing w:line="240" w:lineRule="exact"/>
              <w:jc w:val="center"/>
              <w:rPr>
                <w:rFonts w:ascii="方正仿宋_GBK" w:hAnsi="方正仿宋_GBK" w:cs="方正仿宋_GBK"/>
                <w:color w:val="000000"/>
                <w:sz w:val="18"/>
                <w:szCs w:val="18"/>
              </w:rPr>
            </w:pP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部门和地方规章</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与安全生产有关的部门和地方规章</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sz w:val="18"/>
                <w:szCs w:val="18"/>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continue"/>
            <w:vAlign w:val="center"/>
          </w:tcPr>
          <w:p>
            <w:pPr>
              <w:spacing w:line="240" w:lineRule="exact"/>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3</w:t>
            </w:r>
          </w:p>
        </w:tc>
        <w:tc>
          <w:tcPr>
            <w:tcW w:w="622" w:type="dxa"/>
            <w:vMerge w:val="continue"/>
            <w:vAlign w:val="center"/>
          </w:tcPr>
          <w:p>
            <w:pPr>
              <w:spacing w:line="240" w:lineRule="exact"/>
              <w:jc w:val="center"/>
              <w:rPr>
                <w:rFonts w:ascii="方正仿宋_GBK" w:hAnsi="方正仿宋_GBK" w:cs="方正仿宋_GBK"/>
                <w:color w:val="000000"/>
                <w:sz w:val="18"/>
                <w:szCs w:val="18"/>
              </w:rPr>
            </w:pP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w w:val="90"/>
                <w:kern w:val="0"/>
                <w:sz w:val="18"/>
                <w:szCs w:val="18"/>
                <w:lang w:bidi="ar"/>
              </w:rPr>
              <w:t>其他政策文件</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其他可以公开的与安全生产有关的政策文件，包括改革方案、发展规划、专项规划、工作计划等</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sz w:val="18"/>
                <w:szCs w:val="18"/>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continue"/>
            <w:vAlign w:val="center"/>
          </w:tcPr>
          <w:p>
            <w:pPr>
              <w:spacing w:line="240" w:lineRule="exact"/>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4</w:t>
            </w:r>
          </w:p>
        </w:tc>
        <w:tc>
          <w:tcPr>
            <w:tcW w:w="622" w:type="dxa"/>
            <w:vMerge w:val="continue"/>
            <w:vAlign w:val="center"/>
          </w:tcPr>
          <w:p>
            <w:pPr>
              <w:spacing w:line="240" w:lineRule="exact"/>
              <w:jc w:val="center"/>
              <w:rPr>
                <w:rFonts w:ascii="方正仿宋_GBK" w:hAnsi="方正仿宋_GBK" w:cs="方正仿宋_GBK"/>
                <w:color w:val="000000"/>
                <w:sz w:val="18"/>
                <w:szCs w:val="18"/>
              </w:rPr>
            </w:pPr>
          </w:p>
        </w:tc>
        <w:tc>
          <w:tcPr>
            <w:tcW w:w="651"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标准</w:t>
            </w:r>
          </w:p>
        </w:tc>
        <w:tc>
          <w:tcPr>
            <w:tcW w:w="3056"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安全生产领域有关的国家标准、行业标准、地方标准等</w:t>
            </w:r>
          </w:p>
        </w:tc>
        <w:tc>
          <w:tcPr>
            <w:tcW w:w="1317" w:type="dxa"/>
            <w:vAlign w:val="center"/>
          </w:tcPr>
          <w:p>
            <w:pPr>
              <w:widowControl/>
              <w:spacing w:line="240" w:lineRule="exact"/>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sz w:val="18"/>
                <w:szCs w:val="18"/>
              </w:rPr>
            </w:pPr>
            <w:r>
              <w:rPr>
                <w:rFonts w:hint="eastAsia" w:ascii="方正仿宋_GBK" w:hAnsi="方正仿宋_GBK" w:cs="方正仿宋_GBK"/>
                <w:color w:val="000000"/>
                <w:kern w:val="0"/>
                <w:sz w:val="18"/>
                <w:szCs w:val="18"/>
                <w:lang w:bidi="ar"/>
              </w:rPr>
              <w:t>两江新区应急管理局、各街道办事处</w:t>
            </w:r>
          </w:p>
        </w:tc>
        <w:tc>
          <w:tcPr>
            <w:tcW w:w="2774" w:type="dxa"/>
            <w:vMerge w:val="continue"/>
            <w:vAlign w:val="center"/>
          </w:tcPr>
          <w:p>
            <w:pPr>
              <w:spacing w:line="240" w:lineRule="exact"/>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594"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sz w:val="18"/>
                <w:szCs w:val="18"/>
              </w:rPr>
            </w:pPr>
          </w:p>
        </w:tc>
        <w:tc>
          <w:tcPr>
            <w:tcW w:w="802"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5</w:t>
            </w:r>
          </w:p>
        </w:tc>
        <w:tc>
          <w:tcPr>
            <w:tcW w:w="622" w:type="dxa"/>
            <w:vMerge w:val="restart"/>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政策文件</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重大决策草案</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涉及管理相对人切身利益、需社会广泛知晓的重要改革方案等重大决策，决策前向社会公开决策草案、决策依据</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2.中央办公厅、国务院办公厅《关于全面推进政务公开工作的意见》。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6</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重大政策解读及回应</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有关重大政策的解读与回应，安全生产相关热点问题的解读与回应</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2.中办国办《关于全面推进政务公开工作的意见》。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重大决策作出后及时公开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7</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重要会议</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通过会议讨论作出重要改革方案等重大决策时，经党组研究认为有必要公开讨论决策过程的会议</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2.中央办公厅、国务院办公厅《关于全面推进政务公开工作的意见》。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提前一周发通知邀请</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594"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637" w:type="dxa"/>
            <w:vAlign w:val="center"/>
          </w:tcPr>
          <w:p>
            <w:pPr>
              <w:jc w:val="center"/>
              <w:rPr>
                <w:rFonts w:ascii="方正仿宋_GBK" w:hAnsi="方正仿宋_GBK" w:cs="方正仿宋_GBK"/>
                <w:color w:val="000000"/>
                <w:sz w:val="18"/>
                <w:szCs w:val="18"/>
              </w:rPr>
            </w:pPr>
          </w:p>
        </w:tc>
        <w:tc>
          <w:tcPr>
            <w:tcW w:w="802"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c>
          <w:tcPr>
            <w:tcW w:w="825" w:type="dxa"/>
            <w:vAlign w:val="center"/>
          </w:tcPr>
          <w:p>
            <w:pPr>
              <w:widowControl/>
              <w:jc w:val="center"/>
              <w:textAlignment w:val="center"/>
              <w:rPr>
                <w:rFonts w:ascii="方正仿宋_GBK" w:hAnsi="方正仿宋_GBK" w:cs="方正仿宋_GBK"/>
                <w:color w:val="000000"/>
                <w:sz w:val="18"/>
                <w:szCs w:val="18"/>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8</w:t>
            </w:r>
          </w:p>
        </w:tc>
        <w:tc>
          <w:tcPr>
            <w:tcW w:w="62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政策文件</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征集采纳社会公众意见情况</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重大决策草案公布后征集到的社会公众意见情况、采纳与否情况及理由等</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2.中央办公厅、国务院办公厅《关于全面推进政务公开工作的意见》。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征求意见时对外公布的时限内公开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9</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依法行政</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行政许可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办理行政许可和其他对外管理服务事项的依据、条件、程序</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10</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行政处罚</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办理行政处罚的依据、条件、程序以及本级行政机关认为具有一定社会影响的行政处罚决定</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11</w:t>
            </w:r>
          </w:p>
        </w:tc>
        <w:tc>
          <w:tcPr>
            <w:tcW w:w="62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依法行政</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行政强制</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办理行政强制的依据、条件、程序</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2.《中华人民共和国突发事件应对法》；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3.《突发事件应急预案管理办法》；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4.《中共中央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12</w:t>
            </w:r>
          </w:p>
        </w:tc>
        <w:tc>
          <w:tcPr>
            <w:tcW w:w="62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行政管理</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隐患管理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重大隐患排查、挂牌督办及其整改情况，安全生产举报电话等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1.《安全生产法》；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13</w:t>
            </w:r>
          </w:p>
        </w:tc>
        <w:tc>
          <w:tcPr>
            <w:tcW w:w="622" w:type="dxa"/>
            <w:vMerge w:val="restart"/>
            <w:vAlign w:val="center"/>
          </w:tcPr>
          <w:p>
            <w:pPr>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行政管理</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应急管理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承担处置主责、非敏感的应急信息，包括事故灾害类预警信息、事故信息、事故后采取的应急处置措施和应对结果等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2.《中华人民共和国突发事件应对法》；</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3.中央办公厅、国务院办公厅《关于全面</w:t>
            </w:r>
            <w:r>
              <w:rPr>
                <w:rFonts w:hint="eastAsia" w:ascii="方正仿宋_GBK" w:hAnsi="方正仿宋_GBK" w:cs="方正仿宋_GBK"/>
                <w:color w:val="000000"/>
                <w:kern w:val="0"/>
                <w:sz w:val="18"/>
                <w:szCs w:val="18"/>
                <w:lang w:val="en-US" w:eastAsia="zh-CN" w:bidi="ar"/>
              </w:rPr>
              <w:t>推进</w:t>
            </w:r>
            <w:r>
              <w:rPr>
                <w:rFonts w:hint="eastAsia" w:ascii="方正仿宋_GBK" w:hAnsi="方正仿宋_GBK" w:cs="方正仿宋_GBK"/>
                <w:color w:val="000000"/>
                <w:kern w:val="0"/>
                <w:sz w:val="18"/>
                <w:szCs w:val="18"/>
                <w:lang w:bidi="ar"/>
              </w:rPr>
              <w:t>政务公开工作的意见》。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14</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黑名单管理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列入或撤销纳入安全生产黑名单管理的企业信息，具体企业名称、证照编号、经营地址、负责人姓名等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w:t>
            </w:r>
            <w:bookmarkStart w:id="0" w:name="_GoBack"/>
            <w:bookmarkEnd w:id="0"/>
            <w:r>
              <w:rPr>
                <w:rFonts w:hint="eastAsia" w:ascii="方正仿宋_GBK" w:hAnsi="方正仿宋_GBK" w:cs="方正仿宋_GBK"/>
                <w:color w:val="000000"/>
                <w:kern w:val="0"/>
                <w:sz w:val="18"/>
                <w:szCs w:val="18"/>
                <w:lang w:bidi="ar"/>
              </w:rPr>
              <w:t>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2.《社会信用体系建设规划纲要（2014-2020年）》。</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信息形成或变更之日起20个工作日内</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15</w:t>
            </w:r>
          </w:p>
        </w:tc>
        <w:tc>
          <w:tcPr>
            <w:tcW w:w="622" w:type="dxa"/>
            <w:vMerge w:val="restart"/>
            <w:vAlign w:val="center"/>
          </w:tcPr>
          <w:p>
            <w:pPr>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行政管理</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事故通报</w:t>
            </w:r>
          </w:p>
        </w:tc>
        <w:tc>
          <w:tcPr>
            <w:tcW w:w="3056" w:type="dxa"/>
            <w:vAlign w:val="center"/>
          </w:tcPr>
          <w:p>
            <w:pPr>
              <w:widowControl/>
              <w:spacing w:line="240" w:lineRule="exact"/>
              <w:jc w:val="lef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1.《安全生产法》；</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按照中央有关要求公开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16</w:t>
            </w:r>
          </w:p>
        </w:tc>
        <w:tc>
          <w:tcPr>
            <w:tcW w:w="622" w:type="dxa"/>
            <w:vMerge w:val="continue"/>
            <w:vAlign w:val="center"/>
          </w:tcPr>
          <w:p>
            <w:pPr>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动态信息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 xml:space="preserve">1.业务工作动态；           </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2.安全生产执法检查动态。</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17</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安全生产预警提示信息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1.气象及灾害预警信息；              2.不同时段、不同领域安全生产提示信息。</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信息形成后及时公开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18</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公共服务</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政务公开目录</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政务公开事项的索引、名称、内容概述、生成日期等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19</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政务公开标准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政府信息公开指南等流程性信息</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20</w:t>
            </w:r>
          </w:p>
        </w:tc>
        <w:tc>
          <w:tcPr>
            <w:tcW w:w="622" w:type="dxa"/>
            <w:vMerge w:val="continue"/>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权力清单及责任清单</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同级政府审批通过的行政执法主体信息和行政许可、行政处罚、行政强制、行政检查、行政确认、行政奖励及其他行政职权等行政执法职权职责清单</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信息形成或者变更20个工作日内，如有更新，及时公开</w:t>
            </w:r>
          </w:p>
        </w:tc>
        <w:tc>
          <w:tcPr>
            <w:tcW w:w="1118"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21</w:t>
            </w:r>
          </w:p>
        </w:tc>
        <w:tc>
          <w:tcPr>
            <w:tcW w:w="622" w:type="dxa"/>
            <w:vMerge w:val="restart"/>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公共服务</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主要业务办事指南</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主要业务工作的办事依据、程序、时限，办事时间、地点、部门、联系方式及相关办理结果</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信息形成或者变更之日起20个工作日内</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22</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年度报告</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政府信息公开年度报告及相关统计报表</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《中华人民共和国政府信息公开条例》（国务院令第711号）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每年1月31日前</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0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23</w:t>
            </w:r>
          </w:p>
        </w:tc>
        <w:tc>
          <w:tcPr>
            <w:tcW w:w="62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财政资金信息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1.预算、决算；                       2.“三公”经费；                     3.安全生产专项资金使用等财政资金信息。</w:t>
            </w:r>
          </w:p>
        </w:tc>
        <w:tc>
          <w:tcPr>
            <w:tcW w:w="1317" w:type="dxa"/>
            <w:vAlign w:val="center"/>
          </w:tcPr>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2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2.《国务院关于深化预算管理制度改革的决定》；               3.《国务院办公厅关于进一步推进预算公开工作意见的通知》；</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按中央要求时限公开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24</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政府采购信息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本单位采购实施情况相关信息</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2.《国务院关于深化预算管理制度改革的决定》(国发〔2014〕45号)；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3.中办、国办印发《关于进一步推进预算公开工作的意见》的通知。</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25</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办事纪律和监督管理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本单位的办事纪律,受理投诉、举报、信访的途径等内容</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26</w:t>
            </w:r>
          </w:p>
        </w:tc>
        <w:tc>
          <w:tcPr>
            <w:tcW w:w="622" w:type="dxa"/>
            <w:vMerge w:val="restart"/>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重大工程项目信息</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项目名称、执行措施、责任分工、取得成效、后续举措等</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2.《国务院办公厅关于推进重大建设项目批准和实施领域政府信息公开的意见》（国办发〔2017〕94号）；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按照中央有关要求公开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27</w:t>
            </w:r>
          </w:p>
        </w:tc>
        <w:tc>
          <w:tcPr>
            <w:tcW w:w="622" w:type="dxa"/>
            <w:vMerge w:val="continue"/>
            <w:vAlign w:val="center"/>
          </w:tcPr>
          <w:p>
            <w:pPr>
              <w:spacing w:line="240" w:lineRule="exact"/>
              <w:jc w:val="center"/>
              <w:rPr>
                <w:rFonts w:ascii="方正仿宋_GBK" w:hAnsi="方正仿宋_GBK" w:cs="方正仿宋_GBK"/>
                <w:color w:val="000000"/>
                <w:kern w:val="0"/>
                <w:sz w:val="18"/>
                <w:szCs w:val="18"/>
                <w:lang w:bidi="ar"/>
              </w:rPr>
            </w:pP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检查和巡查发现安全监管监察问题</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检查和巡查发现的、并要求向社会公开的问题及整改落实情况</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2.《中共中央 国务院关于推进安全生产领域改革发展的意见》。</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按进展情况及时公开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两江新区应急管理局，各街道办事处</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45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28</w:t>
            </w:r>
          </w:p>
        </w:tc>
        <w:tc>
          <w:tcPr>
            <w:tcW w:w="622"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重点领域信息公开</w:t>
            </w:r>
          </w:p>
        </w:tc>
        <w:tc>
          <w:tcPr>
            <w:tcW w:w="651"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建议提案办理</w:t>
            </w:r>
          </w:p>
        </w:tc>
        <w:tc>
          <w:tcPr>
            <w:tcW w:w="3056"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1.办理制度与推进情况；              2.人大代表建议办理；              3.政协委员提案办理。</w:t>
            </w:r>
          </w:p>
        </w:tc>
        <w:tc>
          <w:tcPr>
            <w:tcW w:w="1317"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1.《中华人民共和国政府信息公开条例》（国务院令第711号）；</w:t>
            </w:r>
          </w:p>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2.《国务院办公厅关于做好全国人大代表建议和全国政协委员提案办理结果公开工作的通知》（国办发〔2014〕46号）。</w:t>
            </w:r>
          </w:p>
        </w:tc>
        <w:tc>
          <w:tcPr>
            <w:tcW w:w="1075"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按照中央有关要求公开</w:t>
            </w:r>
          </w:p>
        </w:tc>
        <w:tc>
          <w:tcPr>
            <w:tcW w:w="1118"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两江新区应急管理局</w:t>
            </w:r>
            <w:r>
              <w:rPr>
                <w:rFonts w:ascii="方正仿宋_GBK" w:hAnsi="方正仿宋_GBK" w:cs="方正仿宋_GBK"/>
                <w:color w:val="000000"/>
                <w:kern w:val="0"/>
                <w:sz w:val="18"/>
                <w:szCs w:val="18"/>
                <w:lang w:bidi="ar"/>
              </w:rPr>
              <w:t xml:space="preserve"> </w:t>
            </w:r>
          </w:p>
        </w:tc>
        <w:tc>
          <w:tcPr>
            <w:tcW w:w="2774" w:type="dxa"/>
            <w:vAlign w:val="center"/>
          </w:tcPr>
          <w:p>
            <w:pPr>
              <w:widowControl/>
              <w:spacing w:line="240" w:lineRule="exact"/>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■政府网站   □政府公报</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□两微一端   □发布会</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□广播电视   □纸质媒体</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□公开查阅点 ■政务服务中心</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□便民服务站 □入户/现场</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□社区/企事业单位、村公示栏（电子屏）</w:t>
            </w:r>
            <w:r>
              <w:rPr>
                <w:rFonts w:hint="eastAsia" w:ascii="方正仿宋_GBK" w:hAnsi="方正仿宋_GBK" w:cs="方正仿宋_GBK"/>
                <w:color w:val="000000"/>
                <w:kern w:val="0"/>
                <w:sz w:val="18"/>
                <w:szCs w:val="18"/>
                <w:lang w:bidi="ar"/>
              </w:rPr>
              <w:br w:type="textWrapping"/>
            </w:r>
            <w:r>
              <w:rPr>
                <w:rFonts w:hint="eastAsia" w:ascii="方正仿宋_GBK" w:hAnsi="方正仿宋_GBK" w:cs="方正仿宋_GBK"/>
                <w:color w:val="000000"/>
                <w:kern w:val="0"/>
                <w:sz w:val="18"/>
                <w:szCs w:val="18"/>
                <w:lang w:bidi="ar"/>
              </w:rPr>
              <w:t>□精准推送   □其他</w:t>
            </w: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594" w:type="dxa"/>
            <w:vAlign w:val="center"/>
          </w:tcPr>
          <w:p>
            <w:pPr>
              <w:widowControl/>
              <w:spacing w:line="240" w:lineRule="exact"/>
              <w:jc w:val="center"/>
              <w:textAlignment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637" w:type="dxa"/>
            <w:vAlign w:val="center"/>
          </w:tcPr>
          <w:p>
            <w:pPr>
              <w:spacing w:line="240" w:lineRule="exact"/>
              <w:jc w:val="center"/>
              <w:rPr>
                <w:rFonts w:ascii="方正仿宋_GBK" w:hAnsi="方正仿宋_GBK" w:cs="方正仿宋_GBK"/>
                <w:color w:val="000000"/>
                <w:kern w:val="0"/>
                <w:sz w:val="18"/>
                <w:szCs w:val="18"/>
                <w:lang w:bidi="ar"/>
              </w:rPr>
            </w:pPr>
          </w:p>
        </w:tc>
        <w:tc>
          <w:tcPr>
            <w:tcW w:w="802" w:type="dxa"/>
            <w:vAlign w:val="center"/>
          </w:tcPr>
          <w:p>
            <w:pPr>
              <w:spacing w:line="240" w:lineRule="exact"/>
              <w:jc w:val="center"/>
              <w:rPr>
                <w:rFonts w:ascii="方正仿宋_GBK" w:hAnsi="方正仿宋_GBK" w:cs="方正仿宋_GBK"/>
                <w:color w:val="000000"/>
                <w:kern w:val="0"/>
                <w:sz w:val="18"/>
                <w:szCs w:val="18"/>
                <w:lang w:bidi="ar"/>
              </w:rPr>
            </w:pPr>
            <w:r>
              <w:rPr>
                <w:rFonts w:hint="eastAsia" w:ascii="方正仿宋_GBK" w:hAnsi="方正仿宋_GBK" w:cs="方正仿宋_GBK"/>
                <w:color w:val="000000"/>
                <w:kern w:val="0"/>
                <w:sz w:val="18"/>
                <w:szCs w:val="18"/>
                <w:lang w:bidi="ar"/>
              </w:rPr>
              <w:t>√</w:t>
            </w:r>
          </w:p>
        </w:tc>
        <w:tc>
          <w:tcPr>
            <w:tcW w:w="825" w:type="dxa"/>
            <w:vAlign w:val="center"/>
          </w:tcPr>
          <w:p>
            <w:pPr>
              <w:spacing w:line="240" w:lineRule="exact"/>
              <w:jc w:val="center"/>
              <w:rPr>
                <w:rFonts w:ascii="方正仿宋_GBK" w:hAnsi="方正仿宋_GBK" w:cs="方正仿宋_GBK"/>
                <w:color w:val="000000"/>
                <w:kern w:val="0"/>
                <w:sz w:val="18"/>
                <w:szCs w:val="18"/>
                <w:lang w:bidi="ar"/>
              </w:rPr>
            </w:pP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1612920"/>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11 -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OWU5YjAxZjVlOGM4YWQ3OGMxNWZhMThjYTRjNmYifQ=="/>
  </w:docVars>
  <w:rsids>
    <w:rsidRoot w:val="00DE3B7D"/>
    <w:rsid w:val="001B2E64"/>
    <w:rsid w:val="001C4750"/>
    <w:rsid w:val="002C684C"/>
    <w:rsid w:val="002D02E9"/>
    <w:rsid w:val="00382683"/>
    <w:rsid w:val="003D2916"/>
    <w:rsid w:val="00494DD8"/>
    <w:rsid w:val="004D254F"/>
    <w:rsid w:val="004E5F57"/>
    <w:rsid w:val="00535C3E"/>
    <w:rsid w:val="0055374C"/>
    <w:rsid w:val="0072105B"/>
    <w:rsid w:val="00A0713C"/>
    <w:rsid w:val="00A21253"/>
    <w:rsid w:val="00B6577F"/>
    <w:rsid w:val="00C4313C"/>
    <w:rsid w:val="00DE3B7D"/>
    <w:rsid w:val="00F83326"/>
    <w:rsid w:val="00FA1BEC"/>
    <w:rsid w:val="42336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autoRedefine/>
    <w:qFormat/>
    <w:uiPriority w:val="0"/>
    <w:pPr>
      <w:jc w:val="left"/>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eastAsiaTheme="minorEastAsia"/>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eastAsiaTheme="minorEastAsia"/>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文字 Char"/>
    <w:basedOn w:val="7"/>
    <w:link w:val="2"/>
    <w:autoRedefine/>
    <w:qFormat/>
    <w:uiPriority w:val="0"/>
    <w:rPr>
      <w:rFonts w:eastAsia="方正仿宋_GBK"/>
      <w:sz w:val="32"/>
      <w:szCs w:val="24"/>
    </w:rPr>
  </w:style>
  <w:style w:type="character" w:customStyle="1" w:styleId="11">
    <w:name w:val="批注框文本 Char"/>
    <w:basedOn w:val="7"/>
    <w:link w:val="3"/>
    <w:autoRedefine/>
    <w:semiHidden/>
    <w:qFormat/>
    <w:uiPriority w:val="99"/>
    <w:rPr>
      <w:rFonts w:eastAsia="方正仿宋_GBK"/>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1060</Words>
  <Characters>6047</Characters>
  <Lines>50</Lines>
  <Paragraphs>14</Paragraphs>
  <TotalTime>31</TotalTime>
  <ScaleCrop>false</ScaleCrop>
  <LinksUpToDate>false</LinksUpToDate>
  <CharactersWithSpaces>7093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2020-10-20T04:40:00Z</dcterms:created>
  <dc:creator>LQW</dc:creator>
  <cp:lastModifiedBy>今晚吃什么啊</cp:lastModifiedBy>
  <cp:lastPrinted>2020-10-23T06:43:00Z</cp:lastPrinted>
  <dcterms:modified xsi:type="dcterms:W3CDTF">2024-03-29T01:25:22Z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1B2AA7E0FD984FDFB41FAAC17B301352_12</vt:lpwstr>
  </property>
</Properties>
</file>