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pacing w:line="560" w:lineRule="exact"/>
        <w:textAlignment w:val="auto"/>
        <w:rPr>
          <w:rFonts w:hint="default" w:ascii="Times New Roman" w:hAnsi="Times New Roman" w:eastAsia="方正小标宋简体" w:cs="Times New Roman"/>
          <w:sz w:val="44"/>
          <w:szCs w:val="44"/>
        </w:rPr>
      </w:pPr>
      <w:r>
        <w:rPr>
          <w:rFonts w:hint="default" w:ascii="Times New Roman" w:hAnsi="Times New Roman" w:eastAsia="仿宋_GB2312" w:cs="Times New Roman"/>
          <w:sz w:val="32"/>
          <w:szCs w:val="32"/>
        </w:rPr>
        <w:t>附件1</w:t>
      </w:r>
    </w:p>
    <w:p>
      <w:pPr>
        <w:keepNext w:val="0"/>
        <w:keepLines w:val="0"/>
        <w:pageBreakBefore w:val="0"/>
        <w:kinsoku/>
        <w:wordWrap/>
        <w:overflowPunct/>
        <w:topLinePunct w:val="0"/>
        <w:autoSpaceDE/>
        <w:autoSpaceDN/>
        <w:bidi w:val="0"/>
        <w:adjustRightIn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_GBK" w:cs="Times New Roman"/>
          <w:sz w:val="44"/>
          <w:szCs w:val="44"/>
        </w:rPr>
        <w:t>中长期激</w:t>
      </w:r>
      <w:r>
        <w:rPr>
          <w:rFonts w:hint="default" w:ascii="Times New Roman" w:hAnsi="Times New Roman" w:eastAsia="方正小标宋_GBK" w:cs="Times New Roman"/>
          <w:color w:val="auto"/>
          <w:sz w:val="44"/>
          <w:szCs w:val="44"/>
        </w:rPr>
        <w:t>励</w:t>
      </w:r>
      <w:r>
        <w:rPr>
          <w:rFonts w:hint="default" w:ascii="Times New Roman" w:hAnsi="Times New Roman" w:eastAsia="方正小标宋_GBK" w:cs="Times New Roman"/>
          <w:color w:val="auto"/>
          <w:sz w:val="44"/>
          <w:szCs w:val="44"/>
          <w:lang w:val="en-US" w:eastAsia="zh-CN"/>
        </w:rPr>
        <w:t>主要形式</w:t>
      </w:r>
      <w:r>
        <w:rPr>
          <w:rFonts w:hint="default" w:ascii="Times New Roman" w:hAnsi="Times New Roman" w:eastAsia="方正小标宋_GBK" w:cs="Times New Roman"/>
          <w:color w:val="auto"/>
          <w:sz w:val="44"/>
          <w:szCs w:val="44"/>
        </w:rPr>
        <w:t>及</w:t>
      </w:r>
      <w:r>
        <w:rPr>
          <w:rFonts w:hint="default" w:ascii="Times New Roman" w:hAnsi="Times New Roman" w:eastAsia="方正小标宋_GBK" w:cs="Times New Roman"/>
          <w:sz w:val="44"/>
          <w:szCs w:val="44"/>
        </w:rPr>
        <w:t>实施条件</w:t>
      </w:r>
    </w:p>
    <w:p>
      <w:pPr>
        <w:keepNext w:val="0"/>
        <w:keepLines w:val="0"/>
        <w:pageBreakBefore w:val="0"/>
        <w:kinsoku/>
        <w:wordWrap/>
        <w:overflowPunct/>
        <w:topLinePunct w:val="0"/>
        <w:autoSpaceDE/>
        <w:autoSpaceDN/>
        <w:bidi w:val="0"/>
        <w:adjustRightInd/>
        <w:spacing w:line="560" w:lineRule="exact"/>
        <w:textAlignment w:val="auto"/>
        <w:rPr>
          <w:rFonts w:hint="default" w:ascii="Times New Roman" w:hAnsi="Times New Roman" w:eastAsia="黑体" w:cs="Times New Roman"/>
          <w:sz w:val="32"/>
          <w:szCs w:val="32"/>
          <w:lang w:val="en-US" w:eastAsia="zh-CN"/>
        </w:rPr>
      </w:pP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方正仿宋_GBK" w:cs="Times New Roman"/>
          <w:sz w:val="32"/>
          <w:szCs w:val="32"/>
        </w:rPr>
        <w:t>中长期激励是指</w:t>
      </w:r>
      <w:r>
        <w:rPr>
          <w:rFonts w:hint="default" w:ascii="Times New Roman" w:hAnsi="Times New Roman" w:eastAsia="方正仿宋_GBK" w:cs="Times New Roman"/>
          <w:sz w:val="32"/>
          <w:szCs w:val="32"/>
          <w:highlight w:val="none"/>
        </w:rPr>
        <w:t>以</w:t>
      </w:r>
      <w:r>
        <w:rPr>
          <w:rFonts w:hint="default" w:ascii="Times New Roman" w:hAnsi="Times New Roman" w:eastAsia="方正仿宋_GBK" w:cs="Times New Roman"/>
          <w:sz w:val="32"/>
          <w:szCs w:val="32"/>
          <w:highlight w:val="none"/>
          <w:lang w:val="en-US" w:eastAsia="zh-CN"/>
        </w:rPr>
        <w:t>国有控股</w:t>
      </w:r>
      <w:r>
        <w:rPr>
          <w:rFonts w:hint="default" w:ascii="Times New Roman" w:hAnsi="Times New Roman" w:eastAsia="方正仿宋_GBK" w:cs="Times New Roman"/>
          <w:sz w:val="32"/>
          <w:szCs w:val="32"/>
          <w:highlight w:val="none"/>
        </w:rPr>
        <w:t>上市公司股权激励、国有科技型企业股权和分红激励、国有控股混合所有制企业骨干员工持股</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超额利润分享</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lang w:val="en-US" w:eastAsia="zh-CN"/>
        </w:rPr>
        <w:t>项目跟投等</w:t>
      </w:r>
      <w:r>
        <w:rPr>
          <w:rFonts w:hint="default" w:ascii="Times New Roman" w:hAnsi="Times New Roman" w:eastAsia="方正仿宋_GBK" w:cs="Times New Roman"/>
          <w:sz w:val="32"/>
          <w:szCs w:val="32"/>
          <w:highlight w:val="none"/>
        </w:rPr>
        <w:t>为主</w:t>
      </w:r>
      <w:r>
        <w:rPr>
          <w:rFonts w:hint="default" w:ascii="Times New Roman" w:hAnsi="Times New Roman" w:eastAsia="方正仿宋_GBK" w:cs="Times New Roman"/>
          <w:sz w:val="32"/>
          <w:szCs w:val="32"/>
        </w:rPr>
        <w:t>要形式的中长期激励机制。</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方正黑体_GBK" w:cs="Times New Roman"/>
          <w:sz w:val="32"/>
          <w:szCs w:val="32"/>
          <w:lang w:val="en-US" w:eastAsia="zh-CN"/>
        </w:rPr>
        <w:t>一、国有控股上市公司股权激励</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股权激励是指上市公司以本公司股票或者其衍生权益为标的，对其董事、高级管理人员及管理、技术和业务骨干实施的长期激励。上市公司股权激励应当具备以下条件：</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一</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公司治理规范，股东大会、董事会、监事会、经理层组织健全，职责明确。股东大会选举和更换董事的制度健全，董事会选聘、考核、激励高级管理人员的职权到位。</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二</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外部董事</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包括独立董事</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人数应当达到董事会成员的半数以上。薪酬与考核委员会全部由外部董事组成，薪酬与考核委员会制度健全，议事规则完善，运行规范。</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三</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基础管理制度规范，内部控制制度健全，三项制度改革到位，建立了符合市场竞争要求的管理人员能上能下、员工能进能出、收入能增能减的劳动用工、业绩考核、薪酬福利制度体系。</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四</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发展战略明确，资产质量和财务状况良好，经营业绩稳健。近三年无财务会计、收入分配和薪酬管理等方面的</w:t>
      </w: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9624695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rFonts w:hint="eastAsia" w:ascii="方正仿宋_GBK" w:hAnsi="方正仿宋_GBK" w:cs="方正仿宋_GBK"/>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757.85pt;height:144pt;width:144pt;mso-position-horizontal:outside;mso-position-horizontal-relative:margin;mso-wrap-style:none;z-index:251659264;mso-width-relative:page;mso-height-relative:page;" filled="f" stroked="f" coordsize="21600,21600" o:gfxdata="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lSs4q9UAAAAKAQAADwAAAAAAAAABACAAAAAiAAAAZHJzL2Rvd25y&#10;ZXYueG1sUEsBAhQAFAAAAAgAh07iQOSi/s/IAQAAmQMAAA4AAAAAAAAAAQAgAAAAJAEAAGRycy9l&#10;Mm9Eb2MueG1sUEsFBgAAAAAGAAYAWQEAAF4FAAAAAA==&#10;">
                <v:fill on="f" focussize="0,0"/>
                <v:stroke on="f"/>
                <v:imagedata o:title=""/>
                <o:lock v:ext="edit" aspectratio="f"/>
                <v:textbox inset="0mm,0mm,0mm,0mm" style="mso-fit-shape-to-text:t;">
                  <w:txbxContent>
                    <w:p>
                      <w:pPr>
                        <w:pStyle w:val="4"/>
                        <w:rPr>
                          <w:rFonts w:hint="eastAsia" w:ascii="方正仿宋_GBK" w:hAnsi="方正仿宋_GBK" w:cs="方正仿宋_GBK"/>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r>
        <w:rPr>
          <w:rFonts w:hint="default" w:ascii="Times New Roman" w:hAnsi="Times New Roman" w:eastAsia="方正仿宋_GBK" w:cs="Times New Roman"/>
          <w:sz w:val="32"/>
          <w:szCs w:val="32"/>
          <w:lang w:val="en-US" w:eastAsia="zh-CN"/>
        </w:rPr>
        <w:t>违法违规行为。</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五</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健全与激励机制对称的经济责任审计、信息披露、延期支付、追索扣回等约束机制。</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六</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证券监督管理机构规定的其他条件。</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color w:val="FF0000"/>
          <w:sz w:val="32"/>
          <w:szCs w:val="32"/>
          <w:lang w:val="en-US" w:eastAsia="zh-CN"/>
        </w:rPr>
      </w:pPr>
      <w:r>
        <w:rPr>
          <w:rFonts w:hint="default" w:ascii="Times New Roman" w:hAnsi="Times New Roman" w:eastAsia="方正仿宋_GBK" w:cs="Times New Roman"/>
          <w:color w:val="auto"/>
          <w:sz w:val="32"/>
          <w:szCs w:val="32"/>
          <w:lang w:val="en-US" w:eastAsia="zh-CN"/>
        </w:rPr>
        <w:t>具体内容见《关于修改〈上市公司股权激励管理办法〉的决定》（证监会令148号）、《国有控股上市公司（境内）实施股权激励试行办法》（国资发分配〔2006〕175号 ）、《关于规范国有控股上市公司实施股权激励制度有关问题的通知》（国资发分配〔2008〕171号）、《关于进一步做好中央企业控股上市公司股权激励有工作有关事项的通知》（国资发考分规〔2019〕102号）、《中央企业控股上市公司实施股权激励工作指引》（国资考分〔2020〕178号）等有关规定。</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方正黑体_GBK" w:cs="Times New Roman"/>
          <w:sz w:val="32"/>
          <w:szCs w:val="32"/>
          <w:lang w:val="en-US" w:eastAsia="zh-CN"/>
        </w:rPr>
        <w:t>二、国有科技型企业股权和分红激励</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国有科技型企业，是指中国境内具有公司法人资格的国有及国有控股未上市科技企业（含全国中小企业股份转让系统挂牌的国有企业、国有控股上市公司所出资的各级未上市科技子企业），具体包括：第一类，国家认定的高新技术企业；第二类，转制院所企业及所投资的科技企业；第三类，高等院校和科研院所投资的科技企业；第四类，纳入科技部</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全国科技型中小企业信息库</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的企业；第五类，国家和省级认定的科技服务机构。</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股权激励，是指国有科技型企业以本企业股权为标的，采取股权出售、股权奖励、股权期权等方式，对企业重要技术人员和经营管理人员实施激励的行为。分红激励，是指国有科技型企业以科技成果转化收益为标的，采取项目收益分红方式；或者以企业经营收益为标的，采取岗位分红方式，对企业重要技术人员和经营管理人员实施激励的行为。</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实施股权和分红激励的国有科技型企业应当产权明晰、发展战略明确、管理规范、内部治理结构健全并有效运转，同时具备以下条件：</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highlight w:val="none"/>
          <w:lang w:val="en-US" w:eastAsia="zh-CN"/>
        </w:rPr>
      </w:pP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一</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企业建立了规范的内部财务管理制度和员工绩效考核评价制度。年度财务会计报告经过中介机构依法审计，且激励方案制定近3年</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以下简称近3年</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没有因财务、税收等违法违规行为受到行政、刑事处罚。成立不满3年的企业，以实际经</w:t>
      </w:r>
      <w:r>
        <w:rPr>
          <w:rFonts w:hint="default" w:ascii="Times New Roman" w:hAnsi="Times New Roman" w:eastAsia="方正仿宋_GBK" w:cs="Times New Roman"/>
          <w:sz w:val="32"/>
          <w:szCs w:val="32"/>
          <w:highlight w:val="none"/>
          <w:lang w:val="en-US" w:eastAsia="zh-CN"/>
        </w:rPr>
        <w:t>营年限计算。</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highlight w:val="none"/>
          <w:lang w:val="en-US" w:eastAsia="zh-CN"/>
        </w:rPr>
      </w:pPr>
      <w:r>
        <w:rPr>
          <w:rFonts w:hint="eastAsia"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val="en-US" w:eastAsia="zh-CN"/>
        </w:rPr>
        <w:t>二</w:t>
      </w:r>
      <w:r>
        <w:rPr>
          <w:rFonts w:hint="eastAsia"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val="en-US" w:eastAsia="zh-CN"/>
        </w:rPr>
        <w:t>对于前述第二类、第三类、第四类企业，近3年研发费用占当年企业营业收入均在3%以上，激励方案制定的上一年度企业研发人员占职工总数10%以上。成立不满3年的企业，以实际经营年限计算。</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val="en-US" w:eastAsia="zh-CN"/>
        </w:rPr>
        <w:t>三</w:t>
      </w:r>
      <w:r>
        <w:rPr>
          <w:rFonts w:hint="eastAsia"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val="en-US" w:eastAsia="zh-CN"/>
        </w:rPr>
        <w:t>对于前述第五类企业，近3年科技</w:t>
      </w:r>
      <w:r>
        <w:rPr>
          <w:rFonts w:hint="default" w:ascii="Times New Roman" w:hAnsi="Times New Roman" w:eastAsia="方正仿宋_GBK" w:cs="Times New Roman"/>
          <w:sz w:val="32"/>
          <w:szCs w:val="32"/>
          <w:lang w:val="en-US" w:eastAsia="zh-CN"/>
        </w:rPr>
        <w:t>服务性收入不低于当年企业营业收入的60%。企业成立不满3年的，不得采取股权奖励和岗位分红的激励方式。</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科技服务性收入是指国有科技服务机构营业收入中属于研究开发及其服务、技术转移服务、检验检测认证服务、创业孵化服务、知识产权服务、科技咨询服务、科技金融服务、科学技术普及服务等收入。</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color w:val="FF0000"/>
          <w:sz w:val="32"/>
          <w:szCs w:val="32"/>
          <w:lang w:val="en-US" w:eastAsia="zh-CN"/>
        </w:rPr>
      </w:pPr>
      <w:r>
        <w:rPr>
          <w:rFonts w:hint="default" w:ascii="Times New Roman" w:hAnsi="Times New Roman" w:eastAsia="方正仿宋_GBK" w:cs="Times New Roman"/>
          <w:color w:val="auto"/>
          <w:sz w:val="32"/>
          <w:szCs w:val="32"/>
          <w:lang w:val="en-US" w:eastAsia="zh-CN"/>
        </w:rPr>
        <w:t>具体内容见《国有科技型企业股权和分红激励暂行办法》（财资〔2016〕4号）、《关于做好中央科技型企业股权和分红激励工作的通知》（国资发分配〔2016〕274号）、《关于印发&lt;中央科技型企业实施分红激励工作指引&gt;的通知》（国资厅发考分〔2017〕47号）、《</w:t>
      </w:r>
      <w:r>
        <w:rPr>
          <w:rFonts w:hint="default" w:ascii="Times New Roman" w:hAnsi="Times New Roman" w:eastAsia="方正仿宋_GBK" w:cs="Times New Roman"/>
          <w:color w:val="auto"/>
          <w:sz w:val="32"/>
          <w:szCs w:val="32"/>
        </w:rPr>
        <w:t>关于扩大</w:t>
      </w:r>
      <w:r>
        <w:rPr>
          <w:rFonts w:hint="default" w:ascii="Times New Roman" w:hAnsi="Times New Roman" w:eastAsia="方正仿宋_GBK" w:cs="Times New Roman"/>
          <w:color w:val="auto"/>
          <w:sz w:val="32"/>
          <w:szCs w:val="32"/>
          <w:lang w:val="en-US" w:eastAsia="zh-CN"/>
        </w:rPr>
        <w:t>&lt;</w:t>
      </w:r>
      <w:r>
        <w:rPr>
          <w:rFonts w:hint="default" w:ascii="Times New Roman" w:hAnsi="Times New Roman" w:eastAsia="方正仿宋_GBK" w:cs="Times New Roman"/>
          <w:color w:val="auto"/>
          <w:sz w:val="32"/>
          <w:szCs w:val="32"/>
        </w:rPr>
        <w:t>国有科技型企业股权和分红激励暂行办法</w:t>
      </w:r>
      <w:r>
        <w:rPr>
          <w:rFonts w:hint="default" w:ascii="Times New Roman" w:hAnsi="Times New Roman" w:eastAsia="方正仿宋_GBK" w:cs="Times New Roman"/>
          <w:color w:val="auto"/>
          <w:sz w:val="32"/>
          <w:szCs w:val="32"/>
          <w:lang w:val="en-US" w:eastAsia="zh-CN"/>
        </w:rPr>
        <w:t>&gt;</w:t>
      </w:r>
      <w:r>
        <w:rPr>
          <w:rFonts w:hint="default" w:ascii="Times New Roman" w:hAnsi="Times New Roman" w:eastAsia="方正仿宋_GBK" w:cs="Times New Roman"/>
          <w:color w:val="auto"/>
          <w:sz w:val="32"/>
          <w:szCs w:val="32"/>
        </w:rPr>
        <w:t>实施范围等有关事项的通知</w:t>
      </w:r>
      <w:r>
        <w:rPr>
          <w:rFonts w:hint="default" w:ascii="Times New Roman" w:hAnsi="Times New Roman" w:eastAsia="方正仿宋_GBK" w:cs="Times New Roman"/>
          <w:color w:val="auto"/>
          <w:sz w:val="32"/>
          <w:szCs w:val="32"/>
          <w:lang w:eastAsia="zh-CN"/>
        </w:rPr>
        <w:t>》（财资〔2018〕54号）</w:t>
      </w:r>
      <w:r>
        <w:rPr>
          <w:rFonts w:hint="default" w:ascii="Times New Roman" w:hAnsi="Times New Roman" w:eastAsia="方正仿宋_GBK" w:cs="Times New Roman"/>
          <w:color w:val="auto"/>
          <w:sz w:val="32"/>
          <w:szCs w:val="32"/>
          <w:lang w:val="en-US" w:eastAsia="zh-CN"/>
        </w:rPr>
        <w:t>等有关规定。</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方正黑体_GBK" w:cs="Times New Roman"/>
          <w:sz w:val="32"/>
          <w:szCs w:val="32"/>
          <w:lang w:val="en-US" w:eastAsia="zh-CN"/>
        </w:rPr>
        <w:t>三、国有控股混合所有制企业骨干员工持股</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混合所有制企业骨干员工持股试点企业应当具备以下条件：</w:t>
      </w:r>
    </w:p>
    <w:p>
      <w:pPr>
        <w:keepNext w:val="0"/>
        <w:keepLines w:val="0"/>
        <w:pageBreakBefore w:val="0"/>
        <w:widowControl/>
        <w:kinsoku/>
        <w:wordWrap/>
        <w:overflowPunct/>
        <w:topLinePunct w:val="0"/>
        <w:autoSpaceDE/>
        <w:autoSpaceDN/>
        <w:bidi w:val="0"/>
        <w:adjustRightInd/>
        <w:spacing w:line="560" w:lineRule="exact"/>
        <w:ind w:firstLine="630"/>
        <w:jc w:val="left"/>
        <w:textAlignment w:val="auto"/>
        <w:rPr>
          <w:rFonts w:hint="default" w:ascii="Times New Roman" w:hAnsi="Times New Roman" w:eastAsia="方正仿宋_GBK" w:cs="Times New Roman"/>
          <w:color w:val="333333"/>
          <w:kern w:val="0"/>
          <w:sz w:val="32"/>
          <w:szCs w:val="32"/>
        </w:rPr>
      </w:pPr>
      <w:r>
        <w:rPr>
          <w:rFonts w:hint="default" w:ascii="Times New Roman" w:hAnsi="Times New Roman" w:eastAsia="方正仿宋_GBK" w:cs="Times New Roman"/>
          <w:color w:val="333333"/>
          <w:kern w:val="0"/>
          <w:sz w:val="32"/>
          <w:szCs w:val="32"/>
        </w:rPr>
        <w:t>（一）主业处于充分竞争行业和领域的商业类企业。</w:t>
      </w:r>
    </w:p>
    <w:p>
      <w:pPr>
        <w:keepNext w:val="0"/>
        <w:keepLines w:val="0"/>
        <w:pageBreakBefore w:val="0"/>
        <w:widowControl/>
        <w:kinsoku/>
        <w:wordWrap/>
        <w:overflowPunct/>
        <w:topLinePunct w:val="0"/>
        <w:autoSpaceDE/>
        <w:autoSpaceDN/>
        <w:bidi w:val="0"/>
        <w:adjustRightInd/>
        <w:spacing w:line="560" w:lineRule="exact"/>
        <w:ind w:firstLine="630"/>
        <w:jc w:val="left"/>
        <w:textAlignment w:val="auto"/>
        <w:rPr>
          <w:rFonts w:hint="default" w:ascii="Times New Roman" w:hAnsi="Times New Roman" w:eastAsia="方正仿宋_GBK" w:cs="Times New Roman"/>
          <w:color w:val="333333"/>
          <w:kern w:val="0"/>
          <w:sz w:val="32"/>
          <w:szCs w:val="32"/>
        </w:rPr>
      </w:pPr>
      <w:r>
        <w:rPr>
          <w:rFonts w:hint="default" w:ascii="Times New Roman" w:hAnsi="Times New Roman" w:eastAsia="方正仿宋_GBK" w:cs="Times New Roman"/>
          <w:color w:val="333333"/>
          <w:kern w:val="0"/>
          <w:sz w:val="32"/>
          <w:szCs w:val="32"/>
        </w:rPr>
        <w:t>（二）股权结构合理，非公有资本股东所持股份应达到一定比例，公司董事会中有非公有资本股东推荐的董事。</w:t>
      </w:r>
    </w:p>
    <w:p>
      <w:pPr>
        <w:keepNext w:val="0"/>
        <w:keepLines w:val="0"/>
        <w:pageBreakBefore w:val="0"/>
        <w:widowControl/>
        <w:kinsoku/>
        <w:wordWrap/>
        <w:overflowPunct/>
        <w:topLinePunct w:val="0"/>
        <w:autoSpaceDE/>
        <w:autoSpaceDN/>
        <w:bidi w:val="0"/>
        <w:adjustRightInd/>
        <w:spacing w:line="560" w:lineRule="exact"/>
        <w:ind w:firstLine="630"/>
        <w:jc w:val="left"/>
        <w:textAlignment w:val="auto"/>
        <w:rPr>
          <w:rFonts w:hint="default" w:ascii="Times New Roman" w:hAnsi="Times New Roman" w:eastAsia="方正仿宋_GBK" w:cs="Times New Roman"/>
          <w:color w:val="333333"/>
          <w:kern w:val="0"/>
          <w:sz w:val="32"/>
          <w:szCs w:val="32"/>
        </w:rPr>
      </w:pPr>
      <w:r>
        <w:rPr>
          <w:rFonts w:hint="default" w:ascii="Times New Roman" w:hAnsi="Times New Roman" w:eastAsia="方正仿宋_GBK" w:cs="Times New Roman"/>
          <w:color w:val="333333"/>
          <w:kern w:val="0"/>
          <w:sz w:val="32"/>
          <w:szCs w:val="32"/>
        </w:rPr>
        <w:t>（三）公司治理结构健全，建立市场化的劳动人事分配制度和业绩考核评价体系，形成管理人员能上能下、员工能进能出、收入能增能减的市场化机制。</w:t>
      </w:r>
    </w:p>
    <w:p>
      <w:pPr>
        <w:keepNext w:val="0"/>
        <w:keepLines w:val="0"/>
        <w:pageBreakBefore w:val="0"/>
        <w:widowControl/>
        <w:kinsoku/>
        <w:wordWrap/>
        <w:overflowPunct/>
        <w:topLinePunct w:val="0"/>
        <w:autoSpaceDE/>
        <w:autoSpaceDN/>
        <w:bidi w:val="0"/>
        <w:adjustRightInd/>
        <w:spacing w:line="560" w:lineRule="exact"/>
        <w:ind w:firstLine="630"/>
        <w:jc w:val="left"/>
        <w:textAlignment w:val="auto"/>
        <w:rPr>
          <w:rFonts w:hint="default" w:ascii="Times New Roman" w:hAnsi="Times New Roman" w:eastAsia="方正仿宋_GBK" w:cs="Times New Roman"/>
          <w:color w:val="333333"/>
          <w:kern w:val="0"/>
          <w:sz w:val="32"/>
          <w:szCs w:val="32"/>
        </w:rPr>
      </w:pPr>
      <w:r>
        <w:rPr>
          <w:rFonts w:hint="default" w:ascii="Times New Roman" w:hAnsi="Times New Roman" w:eastAsia="方正仿宋_GBK" w:cs="Times New Roman"/>
          <w:color w:val="333333"/>
          <w:kern w:val="0"/>
          <w:sz w:val="32"/>
          <w:szCs w:val="32"/>
        </w:rPr>
        <w:t>（四）营业收入和利润90%以上来源于所在企业集团外部市场。</w:t>
      </w:r>
    </w:p>
    <w:p>
      <w:pPr>
        <w:keepNext w:val="0"/>
        <w:keepLines w:val="0"/>
        <w:pageBreakBefore w:val="0"/>
        <w:widowControl/>
        <w:kinsoku/>
        <w:wordWrap/>
        <w:overflowPunct/>
        <w:topLinePunct w:val="0"/>
        <w:autoSpaceDE/>
        <w:autoSpaceDN/>
        <w:bidi w:val="0"/>
        <w:adjustRightInd/>
        <w:spacing w:line="560" w:lineRule="exact"/>
        <w:ind w:firstLine="63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333333"/>
          <w:kern w:val="0"/>
          <w:sz w:val="32"/>
          <w:szCs w:val="32"/>
        </w:rPr>
        <w:t>优先支持人才资本和技术要素贡献占比较高的转制科研院所、高新技术企业、科技服务型企业（以下统称科技型企业）开展员工持股试点。</w:t>
      </w:r>
      <w:r>
        <w:rPr>
          <w:rFonts w:hint="default" w:ascii="Times New Roman" w:hAnsi="Times New Roman" w:eastAsia="方正仿宋_GBK" w:cs="Times New Roman"/>
          <w:color w:val="333333"/>
          <w:kern w:val="0"/>
          <w:sz w:val="32"/>
          <w:szCs w:val="32"/>
          <w:lang w:val="en-US" w:eastAsia="zh-CN"/>
        </w:rPr>
        <w:t>直属企业集团</w:t>
      </w:r>
      <w:r>
        <w:rPr>
          <w:rFonts w:hint="default" w:ascii="Times New Roman" w:hAnsi="Times New Roman" w:eastAsia="方正仿宋_GBK" w:cs="Times New Roman"/>
          <w:color w:val="333333"/>
          <w:kern w:val="0"/>
          <w:sz w:val="32"/>
          <w:szCs w:val="32"/>
          <w:highlight w:val="none"/>
          <w:lang w:val="en-US" w:eastAsia="zh-CN"/>
        </w:rPr>
        <w:t>公司本部</w:t>
      </w:r>
      <w:r>
        <w:rPr>
          <w:rFonts w:hint="default" w:ascii="Times New Roman" w:hAnsi="Times New Roman" w:eastAsia="方正仿宋_GBK" w:cs="Times New Roman"/>
          <w:color w:val="333333"/>
          <w:kern w:val="0"/>
          <w:sz w:val="32"/>
          <w:szCs w:val="32"/>
          <w:highlight w:val="none"/>
        </w:rPr>
        <w:t>原则上暂不开展员工持股试点。违反国有企业职工持股有关规定</w:t>
      </w:r>
      <w:r>
        <w:rPr>
          <w:rFonts w:hint="default" w:ascii="Times New Roman" w:hAnsi="Times New Roman" w:eastAsia="方正仿宋_GBK" w:cs="Times New Roman"/>
          <w:color w:val="333333"/>
          <w:kern w:val="0"/>
          <w:sz w:val="32"/>
          <w:szCs w:val="32"/>
        </w:rPr>
        <w:t>且未</w:t>
      </w:r>
      <w:r>
        <w:rPr>
          <w:rFonts w:hint="default" w:ascii="Times New Roman" w:hAnsi="Times New Roman" w:eastAsia="方正仿宋_GBK" w:cs="Times New Roman"/>
          <w:color w:val="auto"/>
          <w:kern w:val="0"/>
          <w:sz w:val="32"/>
          <w:szCs w:val="32"/>
        </w:rPr>
        <w:t>按要求完成整改的企业，不开展员工持股试点。</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highlight w:val="yellow"/>
          <w:lang w:val="en-US" w:eastAsia="zh-CN"/>
        </w:rPr>
      </w:pPr>
      <w:r>
        <w:rPr>
          <w:rFonts w:hint="default" w:ascii="Times New Roman" w:hAnsi="Times New Roman" w:eastAsia="方正仿宋_GBK" w:cs="Times New Roman"/>
          <w:color w:val="auto"/>
          <w:sz w:val="32"/>
          <w:szCs w:val="32"/>
          <w:lang w:val="en-US" w:eastAsia="zh-CN"/>
        </w:rPr>
        <w:t>具体内容见《关于国有控股混合所有制企业开展员工持股试点的意见》（国资发改革〔2016〕133号）有关规定。</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color w:val="333333"/>
          <w:kern w:val="0"/>
          <w:sz w:val="32"/>
          <w:szCs w:val="32"/>
        </w:rPr>
      </w:pPr>
      <w:r>
        <w:rPr>
          <w:rFonts w:hint="default" w:ascii="Times New Roman" w:hAnsi="Times New Roman" w:eastAsia="方正黑体_GBK" w:cs="Times New Roman"/>
          <w:sz w:val="32"/>
          <w:szCs w:val="32"/>
          <w:lang w:val="en-US" w:eastAsia="zh-CN"/>
        </w:rPr>
        <w:t>四、超额利润分享</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超额利润分享机制，是指企业综合考虑战略规划、业绩考核指标、历史经营数据和本行业平均利润水平，合理设定目标利润，并以企业实际利润超出目标利润的部分作为超额利润，按约定比例提取超额利润分享额，分配给激励对象的一种中长期激励方式。其中，目标利润是指企业为特定年度设定的预期利润值。推行超额利润分享机制的企业一般应具备以下条件</w:t>
      </w:r>
      <w:r>
        <w:rPr>
          <w:rFonts w:hint="eastAsia" w:eastAsia="方正仿宋_GBK" w:cs="Times New Roman"/>
          <w:color w:val="333333"/>
          <w:kern w:val="0"/>
          <w:sz w:val="32"/>
          <w:szCs w:val="32"/>
          <w:lang w:val="en-US" w:eastAsia="zh-CN" w:bidi="ar-SA"/>
        </w:rPr>
        <w:t>：</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（一）商业一类企业</w:t>
      </w:r>
      <w:r>
        <w:rPr>
          <w:rFonts w:hint="eastAsia" w:eastAsia="方正仿宋_GBK" w:cs="Times New Roman"/>
          <w:color w:val="333333"/>
          <w:kern w:val="0"/>
          <w:sz w:val="32"/>
          <w:szCs w:val="32"/>
          <w:lang w:val="en-US" w:eastAsia="zh-CN" w:bidi="ar-SA"/>
        </w:rPr>
        <w:t>。</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（二）企业战略清晰，中长期发展目标明确</w:t>
      </w:r>
      <w:r>
        <w:rPr>
          <w:rFonts w:hint="eastAsia" w:eastAsia="方正仿宋_GBK" w:cs="Times New Roman"/>
          <w:color w:val="333333"/>
          <w:kern w:val="0"/>
          <w:sz w:val="32"/>
          <w:szCs w:val="32"/>
          <w:lang w:val="en-US" w:eastAsia="zh-CN" w:bidi="ar-SA"/>
        </w:rPr>
        <w:t>。</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（三）《超额利润分享方案》制定当年已实现利润以及年初未分配利润为正值</w:t>
      </w:r>
      <w:r>
        <w:rPr>
          <w:rFonts w:hint="eastAsia" w:eastAsia="方正仿宋_GBK" w:cs="Times New Roman"/>
          <w:color w:val="333333"/>
          <w:kern w:val="0"/>
          <w:sz w:val="32"/>
          <w:szCs w:val="32"/>
          <w:lang w:val="en-US" w:eastAsia="zh-CN" w:bidi="ar-SA"/>
        </w:rPr>
        <w:t>。</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（四）法人治理结构健全，人力资源管理基础完善</w:t>
      </w:r>
      <w:r>
        <w:rPr>
          <w:rFonts w:hint="eastAsia" w:eastAsia="方正仿宋_GBK" w:cs="Times New Roman"/>
          <w:color w:val="333333"/>
          <w:kern w:val="0"/>
          <w:sz w:val="32"/>
          <w:szCs w:val="32"/>
          <w:lang w:val="en-US" w:eastAsia="zh-CN" w:bidi="ar-SA"/>
        </w:rPr>
        <w:t>。</w:t>
      </w:r>
    </w:p>
    <w:p>
      <w:pPr>
        <w:pStyle w:val="4"/>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lang w:val="en-US" w:eastAsia="zh-CN" w:bidi="ar-SA"/>
        </w:rPr>
      </w:pPr>
      <w:r>
        <w:rPr>
          <w:rFonts w:hint="default" w:ascii="Times New Roman" w:hAnsi="Times New Roman" w:eastAsia="方正仿宋_GBK" w:cs="Times New Roman"/>
          <w:color w:val="333333"/>
          <w:kern w:val="0"/>
          <w:sz w:val="32"/>
          <w:szCs w:val="32"/>
          <w:lang w:val="en-US" w:eastAsia="zh-CN" w:bidi="ar-SA"/>
        </w:rPr>
        <w:t>（五）建立了规范的财务管理制度，近三年没有因财务、税收等违法违规行为受到行政、刑事处罚。</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highlight w:val="none"/>
          <w:lang w:val="en-US" w:eastAsia="zh-CN"/>
        </w:rPr>
      </w:pPr>
      <w:r>
        <w:rPr>
          <w:rFonts w:hint="default" w:ascii="Times New Roman" w:hAnsi="Times New Roman" w:eastAsia="方正仿宋_GBK" w:cs="Times New Roman"/>
          <w:color w:val="auto"/>
          <w:sz w:val="32"/>
          <w:szCs w:val="32"/>
          <w:lang w:val="en-US" w:eastAsia="zh-CN"/>
        </w:rPr>
        <w:t>具体内容见《关于印发&lt;</w:t>
      </w:r>
      <w:r>
        <w:rPr>
          <w:rFonts w:hint="eastAsia"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双百企业</w:t>
      </w:r>
      <w:r>
        <w:rPr>
          <w:rFonts w:hint="eastAsia"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和</w:t>
      </w:r>
      <w:r>
        <w:rPr>
          <w:rFonts w:hint="eastAsia"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科改示范企业</w:t>
      </w:r>
      <w:r>
        <w:rPr>
          <w:rFonts w:hint="eastAsia"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超额利润分享机制操作指引&gt;的通知》（国企改办发〔2021〕1号）有关</w:t>
      </w:r>
      <w:r>
        <w:rPr>
          <w:rFonts w:hint="default" w:ascii="Times New Roman" w:hAnsi="Times New Roman" w:eastAsia="方正仿宋_GBK" w:cs="Times New Roman"/>
          <w:color w:val="auto"/>
          <w:sz w:val="32"/>
          <w:szCs w:val="32"/>
          <w:highlight w:val="none"/>
          <w:lang w:val="en-US" w:eastAsia="zh-CN"/>
        </w:rPr>
        <w:t>规定。</w:t>
      </w:r>
    </w:p>
    <w:p>
      <w:pPr>
        <w:pStyle w:val="2"/>
        <w:keepNext w:val="0"/>
        <w:keepLines w:val="0"/>
        <w:pageBreakBefore w:val="0"/>
        <w:kinsoku/>
        <w:wordWrap/>
        <w:overflowPunct/>
        <w:topLinePunct w:val="0"/>
        <w:autoSpaceDE/>
        <w:autoSpaceDN/>
        <w:bidi w:val="0"/>
        <w:adjustRightInd/>
        <w:spacing w:after="0" w:line="560" w:lineRule="exact"/>
        <w:ind w:left="0" w:leftChars="0" w:firstLine="640" w:firstLineChars="200"/>
        <w:textAlignment w:val="auto"/>
        <w:rPr>
          <w:rFonts w:hint="default" w:ascii="Times New Roman" w:hAnsi="Times New Roman" w:eastAsia="方正仿宋_GBK" w:cs="Times New Roman"/>
          <w:color w:val="333333"/>
          <w:kern w:val="0"/>
          <w:sz w:val="32"/>
          <w:szCs w:val="32"/>
          <w:highlight w:val="none"/>
          <w:lang w:val="en-US"/>
        </w:rPr>
      </w:pPr>
      <w:r>
        <w:rPr>
          <w:rFonts w:hint="default" w:ascii="Times New Roman" w:hAnsi="Times New Roman" w:eastAsia="方正黑体_GBK" w:cs="Times New Roman"/>
          <w:sz w:val="32"/>
          <w:szCs w:val="32"/>
          <w:highlight w:val="none"/>
          <w:lang w:val="en-US" w:eastAsia="zh-CN"/>
        </w:rPr>
        <w:t>五、项目跟投</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highlight w:val="none"/>
          <w:lang w:val="en-US" w:eastAsia="zh-CN" w:bidi="ar-SA"/>
        </w:rPr>
      </w:pPr>
      <w:r>
        <w:rPr>
          <w:rFonts w:hint="default" w:ascii="Times New Roman" w:hAnsi="Times New Roman" w:eastAsia="方正仿宋_GBK" w:cs="Times New Roman"/>
          <w:color w:val="333333"/>
          <w:kern w:val="0"/>
          <w:sz w:val="32"/>
          <w:szCs w:val="32"/>
          <w:highlight w:val="none"/>
          <w:lang w:val="en-US" w:eastAsia="zh-CN" w:bidi="ar-SA"/>
        </w:rPr>
        <w:t>项目跟投，是指</w:t>
      </w:r>
      <w:r>
        <w:rPr>
          <w:rFonts w:hint="default" w:ascii="Times New Roman" w:hAnsi="Times New Roman" w:eastAsia="方正仿宋_GBK" w:cs="Times New Roman"/>
          <w:color w:val="333333"/>
          <w:kern w:val="0"/>
          <w:sz w:val="32"/>
          <w:szCs w:val="32"/>
          <w:highlight w:val="none"/>
        </w:rPr>
        <w:t>跟投人员以自有资金与所在企业共同投资项目，实现风险共担、利益共享的一种中长期激励方式</w:t>
      </w:r>
      <w:r>
        <w:rPr>
          <w:rFonts w:hint="default" w:ascii="Times New Roman" w:hAnsi="Times New Roman" w:eastAsia="方正仿宋_GBK" w:cs="Times New Roman"/>
          <w:color w:val="333333"/>
          <w:kern w:val="0"/>
          <w:sz w:val="32"/>
          <w:szCs w:val="32"/>
          <w:highlight w:val="none"/>
          <w:lang w:val="en-US" w:eastAsia="zh-CN" w:bidi="ar-SA"/>
        </w:rPr>
        <w:t>。实施项目跟投的企业一般应具有较强的创新基础，具体如下：</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Times New Roman" w:hAnsi="Times New Roman" w:eastAsia="方正仿宋_GBK" w:cs="Times New Roman"/>
          <w:color w:val="333333"/>
          <w:kern w:val="0"/>
          <w:sz w:val="32"/>
          <w:szCs w:val="32"/>
          <w:highlight w:val="none"/>
          <w:lang w:eastAsia="zh-CN"/>
        </w:rPr>
      </w:pPr>
      <w:r>
        <w:rPr>
          <w:rFonts w:hint="default" w:ascii="Times New Roman" w:hAnsi="Times New Roman" w:eastAsia="方正仿宋_GBK" w:cs="Times New Roman"/>
          <w:color w:val="333333"/>
          <w:kern w:val="0"/>
          <w:sz w:val="32"/>
          <w:szCs w:val="32"/>
          <w:highlight w:val="none"/>
          <w:lang w:val="en-US" w:eastAsia="zh-CN" w:bidi="ar-SA"/>
        </w:rPr>
        <w:t>（一）</w:t>
      </w:r>
      <w:r>
        <w:rPr>
          <w:rFonts w:hint="default" w:ascii="Times New Roman" w:hAnsi="Times New Roman" w:eastAsia="方正仿宋_GBK" w:cs="Times New Roman"/>
          <w:color w:val="333333"/>
          <w:kern w:val="0"/>
          <w:sz w:val="32"/>
          <w:szCs w:val="32"/>
          <w:highlight w:val="none"/>
        </w:rPr>
        <w:t>创新能力突出，拥有5项以上形成主营业务收入的发明专利，近3年研发投入占营业收入比重不低于3％</w:t>
      </w:r>
      <w:r>
        <w:rPr>
          <w:rFonts w:hint="eastAsia" w:eastAsia="方正仿宋_GBK" w:cs="Times New Roman"/>
          <w:color w:val="333333"/>
          <w:kern w:val="0"/>
          <w:sz w:val="32"/>
          <w:szCs w:val="32"/>
          <w:highlight w:val="none"/>
          <w:lang w:eastAsia="zh-CN"/>
        </w:rPr>
        <w:t>。</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Times New Roman" w:hAnsi="Times New Roman" w:eastAsia="方正仿宋_GBK" w:cs="Times New Roman"/>
          <w:color w:val="333333"/>
          <w:kern w:val="0"/>
          <w:sz w:val="32"/>
          <w:szCs w:val="32"/>
          <w:highlight w:val="none"/>
          <w:lang w:eastAsia="zh-CN"/>
        </w:rPr>
      </w:pP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lang w:val="en-US" w:eastAsia="zh-CN"/>
        </w:rPr>
        <w:t>二</w:t>
      </w: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rPr>
        <w:t>企业经营较好，经营活动现金流量等为正</w:t>
      </w:r>
      <w:r>
        <w:rPr>
          <w:rFonts w:hint="eastAsia" w:eastAsia="方正仿宋_GBK" w:cs="Times New Roman"/>
          <w:color w:val="333333"/>
          <w:kern w:val="0"/>
          <w:sz w:val="32"/>
          <w:szCs w:val="32"/>
          <w:highlight w:val="none"/>
          <w:lang w:eastAsia="zh-CN"/>
        </w:rPr>
        <w:t>。</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highlight w:val="none"/>
        </w:rPr>
      </w:pP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lang w:val="en-US" w:eastAsia="zh-CN"/>
        </w:rPr>
        <w:t>三</w:t>
      </w: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rPr>
        <w:t>管理基础完善，在</w:t>
      </w:r>
      <w:r>
        <w:rPr>
          <w:rFonts w:hint="default" w:ascii="Times New Roman" w:hAnsi="Times New Roman" w:eastAsia="方正仿宋_GBK" w:cs="Times New Roman"/>
          <w:color w:val="333333"/>
          <w:kern w:val="0"/>
          <w:sz w:val="32"/>
          <w:szCs w:val="32"/>
          <w:highlight w:val="none"/>
          <w:lang w:val="en-US" w:eastAsia="zh-CN"/>
        </w:rPr>
        <w:t>中国</w:t>
      </w:r>
      <w:r>
        <w:rPr>
          <w:rFonts w:hint="default" w:ascii="Times New Roman" w:hAnsi="Times New Roman" w:eastAsia="方正仿宋_GBK" w:cs="Times New Roman"/>
          <w:color w:val="333333"/>
          <w:kern w:val="0"/>
          <w:sz w:val="32"/>
          <w:szCs w:val="32"/>
          <w:highlight w:val="none"/>
        </w:rPr>
        <w:t>境内注册，具有清晰的发展规划，治理结构完善、制度体系健全</w:t>
      </w:r>
      <w:r>
        <w:rPr>
          <w:rFonts w:hint="default" w:ascii="Times New Roman" w:hAnsi="Times New Roman" w:eastAsia="方正仿宋_GBK" w:cs="Times New Roman"/>
          <w:color w:val="333333"/>
          <w:kern w:val="0"/>
          <w:sz w:val="32"/>
          <w:szCs w:val="32"/>
          <w:highlight w:val="none"/>
          <w:lang w:eastAsia="zh-CN"/>
        </w:rPr>
        <w:t>。</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highlight w:val="none"/>
          <w:lang w:val="en-US" w:eastAsia="zh-CN" w:bidi="ar-SA"/>
        </w:rPr>
      </w:pPr>
      <w:r>
        <w:rPr>
          <w:rFonts w:hint="default" w:ascii="Times New Roman" w:hAnsi="Times New Roman" w:eastAsia="方正仿宋_GBK" w:cs="Times New Roman"/>
          <w:color w:val="333333"/>
          <w:kern w:val="0"/>
          <w:sz w:val="32"/>
          <w:szCs w:val="32"/>
          <w:highlight w:val="none"/>
          <w:lang w:val="en-US" w:eastAsia="zh-CN" w:bidi="ar-SA"/>
        </w:rPr>
        <w:t>同时，跟投项目应具有高风险和不确定性，具体要求如下：</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Times New Roman" w:hAnsi="Times New Roman" w:eastAsia="方正仿宋_GBK" w:cs="Times New Roman"/>
          <w:color w:val="333333"/>
          <w:kern w:val="0"/>
          <w:sz w:val="32"/>
          <w:szCs w:val="32"/>
          <w:highlight w:val="none"/>
          <w:lang w:eastAsia="zh-CN"/>
        </w:rPr>
      </w:pP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lang w:val="en-US" w:eastAsia="zh-CN"/>
        </w:rPr>
        <w:t>一</w:t>
      </w: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rPr>
        <w:t>跟投项目处于产业化初期，具有较高技术风险、市场风险和管理风险</w:t>
      </w:r>
      <w:r>
        <w:rPr>
          <w:rFonts w:hint="eastAsia" w:eastAsia="方正仿宋_GBK" w:cs="Times New Roman"/>
          <w:color w:val="333333"/>
          <w:kern w:val="0"/>
          <w:sz w:val="32"/>
          <w:szCs w:val="32"/>
          <w:highlight w:val="none"/>
          <w:lang w:eastAsia="zh-CN"/>
        </w:rPr>
        <w:t>。</w:t>
      </w:r>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Times New Roman" w:hAnsi="Times New Roman" w:eastAsia="方正仿宋_GBK" w:cs="Times New Roman"/>
          <w:color w:val="333333"/>
          <w:kern w:val="0"/>
          <w:sz w:val="32"/>
          <w:szCs w:val="32"/>
          <w:highlight w:val="none"/>
          <w:lang w:eastAsia="zh-CN"/>
        </w:rPr>
      </w:pP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lang w:val="en-US" w:eastAsia="zh-CN"/>
        </w:rPr>
        <w:t>二</w:t>
      </w: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rPr>
        <w:t>需要设立项目公司进行市场化运营，确保营业收入和利润主要来源于所在企业集团外部市场</w:t>
      </w:r>
      <w:r>
        <w:rPr>
          <w:rFonts w:hint="eastAsia" w:eastAsia="方正仿宋_GBK" w:cs="Times New Roman"/>
          <w:color w:val="333333"/>
          <w:kern w:val="0"/>
          <w:sz w:val="32"/>
          <w:szCs w:val="32"/>
          <w:highlight w:val="none"/>
          <w:lang w:eastAsia="zh-CN"/>
        </w:rPr>
        <w:t>。</w:t>
      </w:r>
      <w:bookmarkStart w:id="0" w:name="_GoBack"/>
      <w:bookmarkEnd w:id="0"/>
    </w:p>
    <w:p>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Times New Roman" w:hAnsi="Times New Roman" w:eastAsia="方正仿宋_GBK" w:cs="Times New Roman"/>
          <w:color w:val="333333"/>
          <w:kern w:val="0"/>
          <w:sz w:val="32"/>
          <w:szCs w:val="32"/>
          <w:highlight w:val="none"/>
        </w:rPr>
      </w:pP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lang w:val="en-US" w:eastAsia="zh-CN"/>
        </w:rPr>
        <w:t>三</w:t>
      </w:r>
      <w:r>
        <w:rPr>
          <w:rFonts w:hint="default" w:ascii="Times New Roman" w:hAnsi="Times New Roman" w:eastAsia="方正仿宋_GBK" w:cs="Times New Roman"/>
          <w:color w:val="333333"/>
          <w:kern w:val="0"/>
          <w:sz w:val="32"/>
          <w:szCs w:val="32"/>
          <w:highlight w:val="none"/>
          <w:lang w:eastAsia="zh-CN"/>
        </w:rPr>
        <w:t>）</w:t>
      </w:r>
      <w:r>
        <w:rPr>
          <w:rFonts w:hint="default" w:ascii="Times New Roman" w:hAnsi="Times New Roman" w:eastAsia="方正仿宋_GBK" w:cs="Times New Roman"/>
          <w:color w:val="333333"/>
          <w:kern w:val="0"/>
          <w:sz w:val="32"/>
          <w:szCs w:val="32"/>
          <w:highlight w:val="none"/>
        </w:rPr>
        <w:t>设立初期，项目公司应当保持适当规模，跟投实施首年从业人员人数不超过300人、资产总额和年营业收入均不超过5000万元。</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方正仿宋_GBK" w:cs="Times New Roman"/>
          <w:color w:val="333333"/>
          <w:kern w:val="0"/>
          <w:sz w:val="32"/>
          <w:szCs w:val="32"/>
          <w:highlight w:val="none"/>
          <w:u w:val="none"/>
        </w:rPr>
      </w:pPr>
      <w:r>
        <w:rPr>
          <w:rFonts w:hint="default" w:ascii="Times New Roman" w:hAnsi="Times New Roman" w:eastAsia="方正仿宋_GBK" w:cs="Times New Roman"/>
          <w:color w:val="auto"/>
          <w:sz w:val="32"/>
          <w:szCs w:val="32"/>
          <w:highlight w:val="none"/>
          <w:u w:val="none"/>
          <w:lang w:val="en-US" w:eastAsia="zh-CN"/>
        </w:rPr>
        <w:t>除以上具有较强创新基础的企业外，</w:t>
      </w:r>
      <w:r>
        <w:rPr>
          <w:rFonts w:hint="default" w:ascii="Times New Roman" w:hAnsi="Times New Roman" w:eastAsia="方正仿宋_GBK" w:cs="Times New Roman"/>
          <w:color w:val="auto"/>
          <w:sz w:val="32"/>
          <w:szCs w:val="32"/>
          <w:highlight w:val="none"/>
          <w:u w:val="none"/>
        </w:rPr>
        <w:t>从事新产业、新业态、新商业模式的企业，或在投资周期较长、业务发展前景不明朗、具有较高风险和不确定性的创新业务领域，</w:t>
      </w:r>
      <w:r>
        <w:rPr>
          <w:rFonts w:hint="default" w:ascii="Times New Roman" w:hAnsi="Times New Roman" w:eastAsia="方正仿宋_GBK" w:cs="Times New Roman"/>
          <w:color w:val="auto"/>
          <w:sz w:val="32"/>
          <w:szCs w:val="32"/>
          <w:highlight w:val="none"/>
          <w:u w:val="none"/>
          <w:lang w:val="en-US" w:eastAsia="zh-CN"/>
        </w:rPr>
        <w:t>可</w:t>
      </w:r>
      <w:r>
        <w:rPr>
          <w:rFonts w:hint="default" w:ascii="Times New Roman" w:hAnsi="Times New Roman" w:eastAsia="方正仿宋_GBK" w:cs="Times New Roman"/>
          <w:color w:val="auto"/>
          <w:sz w:val="32"/>
          <w:szCs w:val="32"/>
          <w:highlight w:val="none"/>
          <w:u w:val="none"/>
        </w:rPr>
        <w:t>按照风险共担、利益共享原则</w:t>
      </w:r>
      <w:r>
        <w:rPr>
          <w:rFonts w:hint="default" w:ascii="Times New Roman" w:hAnsi="Times New Roman" w:eastAsia="方正仿宋_GBK" w:cs="Times New Roman"/>
          <w:color w:val="auto"/>
          <w:sz w:val="32"/>
          <w:szCs w:val="32"/>
          <w:highlight w:val="none"/>
          <w:u w:val="none"/>
          <w:lang w:val="en-US" w:eastAsia="zh-CN"/>
        </w:rPr>
        <w:t>探索</w:t>
      </w:r>
      <w:r>
        <w:rPr>
          <w:rFonts w:hint="default" w:ascii="Times New Roman" w:hAnsi="Times New Roman" w:eastAsia="方正仿宋_GBK" w:cs="Times New Roman"/>
          <w:color w:val="auto"/>
          <w:sz w:val="32"/>
          <w:szCs w:val="32"/>
          <w:highlight w:val="none"/>
          <w:u w:val="none"/>
        </w:rPr>
        <w:t>实施跟投。</w:t>
      </w:r>
    </w:p>
    <w:p>
      <w:pPr>
        <w:keepNext w:val="0"/>
        <w:keepLines w:val="0"/>
        <w:pageBreakBefore w:val="0"/>
        <w:kinsoku/>
        <w:wordWrap/>
        <w:overflowPunct/>
        <w:topLinePunct w:val="0"/>
        <w:autoSpaceDE/>
        <w:autoSpaceDN/>
        <w:bidi w:val="0"/>
        <w:adjustRightInd/>
        <w:spacing w:line="560" w:lineRule="exact"/>
        <w:textAlignment w:val="auto"/>
        <w:rPr>
          <w:rFonts w:hint="default" w:ascii="Times New Roman" w:hAnsi="Times New Roman" w:cs="Times New Roman"/>
        </w:rPr>
      </w:pPr>
    </w:p>
    <w:p>
      <w:pPr>
        <w:bidi w:val="0"/>
        <w:rPr>
          <w:rFonts w:hint="default" w:ascii="Times New Roman" w:hAnsi="Times New Roman" w:eastAsia="宋体" w:cs="Times New Roman"/>
          <w:kern w:val="2"/>
          <w:sz w:val="21"/>
          <w:szCs w:val="24"/>
          <w:lang w:val="en-US" w:eastAsia="zh-CN" w:bidi="ar-SA"/>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tabs>
          <w:tab w:val="left" w:pos="746"/>
        </w:tabs>
        <w:bidi w:val="0"/>
        <w:jc w:val="left"/>
        <w:rPr>
          <w:rFonts w:hint="default" w:ascii="Times New Roman" w:hAnsi="Times New Roman" w:cs="Times New Roman"/>
        </w:rPr>
      </w:pPr>
      <w:r>
        <w:rPr>
          <w:rFonts w:hint="eastAsia"/>
          <w:lang w:val="en-US" w:eastAsia="zh-CN"/>
        </w:rPr>
        <w:tab/>
      </w: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22034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2203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17.35pt;width:144pt;mso-position-horizontal:outside;mso-position-horizontal-relative:margin;mso-wrap-style:none;z-index:251660288;mso-width-relative:page;mso-height-relative:page;" filled="f" stroked="f" coordsize="21600,21600" o:gfxdata="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MKmcX/UAAAABAEAAA8AAAAAAAAAAQAgAAAAIgAAAGRycy9kb3ducmV2Lnht&#10;bFBLAQIUABQAAAAIAIdO4kD2ONmMNgIAAGAEAAAOAAAAAAAAAAEAIAAAACMBAABkcnMvZTJvRG9j&#10;LnhtbFBLBQYAAAAABgAGAFkBAADLBQAAAAA=&#10;">
              <v:fill on="f" focussize="0,0"/>
              <v:stroke on="f" weight="0.5pt"/>
              <v:imagedata o:title=""/>
              <o:lock v:ext="edit" aspectratio="f"/>
              <v:textbox inset="0mm,0mm,0mm,0mm">
                <w:txbxContent>
                  <w:p>
                    <w:pPr>
                      <w:pStyle w:val="4"/>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4BB03840"/>
    <w:rsid w:val="1222693E"/>
    <w:rsid w:val="20B0298F"/>
    <w:rsid w:val="25A64BE7"/>
    <w:rsid w:val="2EE21B97"/>
    <w:rsid w:val="4AD80ED6"/>
    <w:rsid w:val="4BB03840"/>
    <w:rsid w:val="5B7F3AD9"/>
    <w:rsid w:val="687827B4"/>
    <w:rsid w:val="6CF646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First Indent"/>
    <w:basedOn w:val="3"/>
    <w:next w:val="4"/>
    <w:qFormat/>
    <w:uiPriority w:val="0"/>
    <w:pPr>
      <w:ind w:firstLine="420" w:firstLineChars="100"/>
    </w:pPr>
  </w:style>
  <w:style w:type="paragraph" w:styleId="3">
    <w:name w:val="Body Text"/>
    <w:basedOn w:val="1"/>
    <w:next w:val="2"/>
    <w:unhideWhenUsed/>
    <w:qFormat/>
    <w:uiPriority w:val="0"/>
    <w:pPr>
      <w:spacing w:after="12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annotation text"/>
    <w:basedOn w:val="1"/>
    <w:qFormat/>
    <w:uiPriority w:val="0"/>
    <w:pPr>
      <w:jc w:val="left"/>
    </w:p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2022-08-16T02:49:00Z</dcterms:created>
  <dc:creator>dqb-zzh</dc:creator>
  <cp:lastModifiedBy>dqb-zzh</cp:lastModifiedBy>
  <cp:lastPrinted>2022-08-16T03:44:11Z</cp:lastPrinted>
  <dcterms:modified xsi:type="dcterms:W3CDTF">2022-08-16T07:55:41Z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32276066F76945929C768A6B9F11019F</vt:lpwstr>
  </property>
</Properties>
</file>