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ind w:firstLine="2560" w:firstLineChars="800"/>
        <w:rPr>
          <w:rFonts w:hint="eastAsia" w:ascii="方正黑体_GBK" w:hAnsi="方正小标宋_GBK" w:eastAsia="方正黑体_GBK" w:cs="方正小标宋_GBK"/>
          <w:szCs w:val="32"/>
          <w:lang w:eastAsia="zh-CN"/>
        </w:rPr>
      </w:pPr>
      <w:r>
        <w:rPr>
          <w:rFonts w:hint="eastAsia" w:ascii="方正黑体_GBK" w:hAnsi="方正小标宋_GBK" w:eastAsia="方正黑体_GBK" w:cs="方正小标宋_GBK"/>
          <w:szCs w:val="32"/>
        </w:rPr>
        <w:t>安全生产领域基层政务公开标准目录</w:t>
      </w:r>
      <w:r>
        <w:rPr>
          <w:rFonts w:hint="eastAsia" w:ascii="方正黑体_GBK" w:hAnsi="方正小标宋_GBK" w:eastAsia="方正黑体_GBK" w:cs="方正小标宋_GBK"/>
          <w:szCs w:val="32"/>
          <w:lang w:eastAsia="zh-CN"/>
        </w:rPr>
        <w:t>（</w:t>
      </w:r>
      <w:r>
        <w:rPr>
          <w:rFonts w:hint="eastAsia" w:ascii="方正黑体_GBK" w:hAnsi="方正小标宋_GBK" w:eastAsia="方正黑体_GBK" w:cs="方正小标宋_GBK"/>
          <w:szCs w:val="32"/>
          <w:lang w:val="en-US" w:eastAsia="zh-CN"/>
        </w:rPr>
        <w:t>2024年版</w:t>
      </w:r>
      <w:r>
        <w:rPr>
          <w:rFonts w:hint="eastAsia" w:ascii="方正黑体_GBK" w:hAnsi="方正小标宋_GBK" w:eastAsia="方正黑体_GBK" w:cs="方正小标宋_GBK"/>
          <w:szCs w:val="32"/>
          <w:lang w:eastAsia="zh-CN"/>
        </w:rPr>
        <w:t>）</w:t>
      </w:r>
      <w:bookmarkStart w:id="0" w:name="_GoBack"/>
      <w:bookmarkEnd w:id="0"/>
    </w:p>
    <w:tbl>
      <w:tblPr>
        <w:tblStyle w:val="6"/>
        <w:tblW w:w="15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622"/>
        <w:gridCol w:w="651"/>
        <w:gridCol w:w="3056"/>
        <w:gridCol w:w="1317"/>
        <w:gridCol w:w="1075"/>
        <w:gridCol w:w="1118"/>
        <w:gridCol w:w="2774"/>
        <w:gridCol w:w="594"/>
        <w:gridCol w:w="637"/>
        <w:gridCol w:w="594"/>
        <w:gridCol w:w="637"/>
        <w:gridCol w:w="80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55" w:type="dxa"/>
            <w:vMerge w:val="restart"/>
            <w:vAlign w:val="center"/>
          </w:tcPr>
          <w:p>
            <w:pPr>
              <w:overflowPunct w:val="0"/>
              <w:snapToGrid w:val="0"/>
              <w:spacing w:line="200" w:lineRule="exact"/>
              <w:jc w:val="left"/>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序号</w:t>
            </w:r>
          </w:p>
        </w:tc>
        <w:tc>
          <w:tcPr>
            <w:tcW w:w="1273"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公开事项</w:t>
            </w:r>
          </w:p>
        </w:tc>
        <w:tc>
          <w:tcPr>
            <w:tcW w:w="3056"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公开内容</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(要素)</w:t>
            </w:r>
          </w:p>
        </w:tc>
        <w:tc>
          <w:tcPr>
            <w:tcW w:w="1317"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公开依据</w:t>
            </w:r>
          </w:p>
        </w:tc>
        <w:tc>
          <w:tcPr>
            <w:tcW w:w="1075"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时限</w:t>
            </w:r>
          </w:p>
        </w:tc>
        <w:tc>
          <w:tcPr>
            <w:tcW w:w="1118"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主体</w:t>
            </w:r>
          </w:p>
        </w:tc>
        <w:tc>
          <w:tcPr>
            <w:tcW w:w="2774"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公开渠道和载体</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公开对象</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公开方式</w:t>
            </w:r>
          </w:p>
        </w:tc>
        <w:tc>
          <w:tcPr>
            <w:tcW w:w="1627"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455"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622"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一级   事项</w:t>
            </w:r>
          </w:p>
        </w:tc>
        <w:tc>
          <w:tcPr>
            <w:tcW w:w="651"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二级       事项</w:t>
            </w:r>
          </w:p>
        </w:tc>
        <w:tc>
          <w:tcPr>
            <w:tcW w:w="3056"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317"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075"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118"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2774"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全</w:t>
            </w:r>
          </w:p>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社会</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特定</w:t>
            </w:r>
          </w:p>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群体</w:t>
            </w: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主动公开</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依申请公开</w:t>
            </w:r>
          </w:p>
        </w:tc>
        <w:tc>
          <w:tcPr>
            <w:tcW w:w="802"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区县级</w:t>
            </w:r>
          </w:p>
        </w:tc>
        <w:tc>
          <w:tcPr>
            <w:tcW w:w="825"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1</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法律法规</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与安全生产有关的法律、法规</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restart"/>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                          □</w:t>
            </w:r>
            <w:r>
              <w:rPr>
                <w:rFonts w:hint="eastAsia" w:ascii="方正仿宋_GBK" w:hAnsi="方正仿宋_GBK" w:cs="方正仿宋_GBK"/>
                <w:color w:val="000000"/>
                <w:w w:val="90"/>
                <w:kern w:val="0"/>
                <w:sz w:val="18"/>
                <w:szCs w:val="18"/>
                <w:lang w:bidi="ar"/>
              </w:rPr>
              <w:t>社区/企事业单位、村公示栏（电子屏）</w:t>
            </w:r>
            <w:r>
              <w:rPr>
                <w:rFonts w:hint="eastAsia" w:ascii="方正仿宋_GBK" w:hAnsi="方正仿宋_GBK" w:cs="方正仿宋_GBK"/>
                <w:color w:val="000000"/>
                <w:w w:val="9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部门和地方规章</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与安全生产有关的部门和地方规章</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3</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lang w:bidi="ar"/>
              </w:rPr>
              <w:t>其他政策文件</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其他可以公开的与安全生产有关的政策文件，包括改革方案、发展规划、专项规划、工作计划等</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4</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标准</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安全生产领域有关的国家标准、行业标准、地方标准等</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5</w:t>
            </w:r>
          </w:p>
        </w:tc>
        <w:tc>
          <w:tcPr>
            <w:tcW w:w="622" w:type="dxa"/>
            <w:vMerge w:val="restart"/>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重大决策草案</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涉及管理相对人切身利益、需社会广泛知晓的重要改革方案等重大决策，决策前向社会公开决策草案、决策依据</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6</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重大政策解读及回应</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有关重大政策的解读与回应，安全生产相关热点问题的解读与回应</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2.中办国办《关于全面推进政务公开工作的意见》。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重大决策作出后及时公开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7</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重要会议</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通过会议讨论作出重要改革方案等重大决策时，经党组研究认为有必要公开讨论决策过程的会议</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提前一周发通知邀请</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594"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jc w:val="center"/>
              <w:rPr>
                <w:rFonts w:ascii="方正仿宋_GBK" w:hAnsi="方正仿宋_GBK" w:cs="方正仿宋_GBK"/>
                <w:color w:val="000000"/>
                <w:sz w:val="18"/>
                <w:szCs w:val="18"/>
              </w:rPr>
            </w:pPr>
          </w:p>
        </w:tc>
        <w:tc>
          <w:tcPr>
            <w:tcW w:w="802"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8</w:t>
            </w:r>
          </w:p>
        </w:tc>
        <w:tc>
          <w:tcPr>
            <w:tcW w:w="62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征集采纳社会公众意见情况</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重大决策草案公布后征集到的社会公众意见情况、采纳与否情况及理由等</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征求意见时对外公布的时限内公开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9</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依法行政</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行政许可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办理行政许可和其他对外管理服务事项的依据、条件、程序</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10</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行政处罚</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办理行政处罚的依据、条件、程序以及本级行政机关认为具有一定社会影响的行政处罚决定</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11</w:t>
            </w:r>
          </w:p>
        </w:tc>
        <w:tc>
          <w:tcPr>
            <w:tcW w:w="62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依法行政</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行政强制</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办理行政强制的依据、条件、程序</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2.《中华人民共和国突发事件应对法》；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3.《突发事件应急预案管理办法》；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4.《中共中央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12</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隐患管理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重大隐患排查、挂牌督办及其整改情况，安全生产举报电话等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1.《安全生产法》；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13</w:t>
            </w:r>
          </w:p>
        </w:tc>
        <w:tc>
          <w:tcPr>
            <w:tcW w:w="622" w:type="dxa"/>
            <w:vMerge w:val="restart"/>
            <w:vAlign w:val="center"/>
          </w:tcPr>
          <w:p>
            <w:pPr>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应急管理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承担处置主责、非敏感的应急信息，包括事故灾害类预警信息、事故信息、事故后采取的应急处置措施和应对结果等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2.《中华人民共和国突发事件应对法》；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3.中央办公厅、国务院办公厅《关于全面</w:t>
            </w:r>
            <w:r>
              <w:rPr>
                <w:rFonts w:hint="eastAsia" w:ascii="方正仿宋_GBK" w:hAnsi="方正仿宋_GBK" w:cs="方正仿宋_GBK"/>
                <w:color w:val="000000"/>
                <w:kern w:val="0"/>
                <w:sz w:val="18"/>
                <w:szCs w:val="18"/>
                <w:lang w:val="en-US" w:eastAsia="zh-CN" w:bidi="ar"/>
              </w:rPr>
              <w:t>推进</w:t>
            </w:r>
            <w:r>
              <w:rPr>
                <w:rFonts w:hint="eastAsia" w:ascii="方正仿宋_GBK" w:hAnsi="方正仿宋_GBK" w:cs="方正仿宋_GBK"/>
                <w:color w:val="000000"/>
                <w:kern w:val="0"/>
                <w:sz w:val="18"/>
                <w:szCs w:val="18"/>
                <w:lang w:bidi="ar"/>
              </w:rPr>
              <w:t>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14</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黑名单管理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列入或撤销纳入安全生产黑名单管理的企业信息，具体企业名称、证照编号、经营地址、负责人姓名等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2.《社会信用体系建设规划纲要（2014-2020年）》。</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15</w:t>
            </w:r>
          </w:p>
        </w:tc>
        <w:tc>
          <w:tcPr>
            <w:tcW w:w="622" w:type="dxa"/>
            <w:vMerge w:val="restart"/>
            <w:vAlign w:val="center"/>
          </w:tcPr>
          <w:p>
            <w:pPr>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事故通报</w:t>
            </w:r>
          </w:p>
        </w:tc>
        <w:tc>
          <w:tcPr>
            <w:tcW w:w="3056" w:type="dxa"/>
            <w:vAlign w:val="center"/>
          </w:tcPr>
          <w:p>
            <w:pPr>
              <w:widowControl/>
              <w:spacing w:line="240" w:lineRule="exact"/>
              <w:jc w:val="lef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1.《安全生产法》；</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16</w:t>
            </w:r>
          </w:p>
        </w:tc>
        <w:tc>
          <w:tcPr>
            <w:tcW w:w="622" w:type="dxa"/>
            <w:vMerge w:val="continue"/>
            <w:vAlign w:val="center"/>
          </w:tcPr>
          <w:p>
            <w:pPr>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动态信息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 xml:space="preserve">1.业务工作动态；           </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2.安全生产执法检查动态。</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17</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安全生产预警提示信息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1.气象及灾害预警信息；              2.不同时段、不同领域安全生产提示信息。</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信息形成后及时公开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18</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公共服务</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政务公开目录</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政务公开事项的索引、名称、内容概述、生成日期等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19</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政务公开标准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政府信息公开指南等流程性信息</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20</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权力清单及责任清单</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同级政府审批通过的行政执法主体信息和行政许可、行政处罚、行政强制、行政检查、行政确认、行政奖励及其他行政职权等行政执法职权职责清单</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信息形成或者变更20个工作日内，如有更新，及时公开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21</w:t>
            </w:r>
          </w:p>
        </w:tc>
        <w:tc>
          <w:tcPr>
            <w:tcW w:w="622" w:type="dxa"/>
            <w:vMerge w:val="restart"/>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公共服务</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主要业务办事指南</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主要业务工作的办事依据、程序、时限，办事时间、地点、部门、联系方式及相关办理结果</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信息形成或者变更之日起20个工作日内</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22</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年度报告</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政府信息公开年度报告及相关统计报表</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每年1月31日前</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0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23</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财政资金信息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1.预算、决算；                       2.“三公”经费；                     3.安全生产专项资金使用等财政资金信息。</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2.《国务院关于深化预算管理制度改革的决定》；               3.《国务院办公厅关于进一步推进预算公开工作意见的通知》；</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按中央要求时限公开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24</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政府采购信息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本单位采购实施情况相关信息</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2.《国务院关于深化预算管理制度改革的决定》(国发〔2014〕45号)；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3.中办、国办印发《关于进一步推进预算公开工作的意见》的通知。</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25</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办事纪律和监督管理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本单位的办事纪律,受理投诉、举报、信访的途径等内容</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26</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重大工程项目信息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项目名称、执行措施、责任分工、取得成效、后续举措等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2.《国务院办公厅关于推进重大建设项目批准和实施领域政府信息公开的意见》（国办发〔2017〕94号）；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27</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检查和巡查发现安全监管监察问题</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检查和巡查发现的、并要求向社会公开的问题及整改落实情况</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28</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建议提案办理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1.办理制度与推进情况；              2.人大代表建议办理；              3.政协委员提案办理。</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2.《国务院办公厅关于做好全国人大代表建议和全国政协委员提案办理结果公开工作的通知》（国办发〔2014〕46号）。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r>
              <w:rPr>
                <w:rFonts w:ascii="方正仿宋_GBK" w:hAnsi="方正仿宋_GBK" w:cs="方正仿宋_GBK"/>
                <w:color w:val="000000"/>
                <w:kern w:val="0"/>
                <w:sz w:val="18"/>
                <w:szCs w:val="18"/>
                <w:lang w:bidi="ar"/>
              </w:rPr>
              <w:t xml:space="preserve"> </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61292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11 -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DE3B7D"/>
    <w:rsid w:val="00034F82"/>
    <w:rsid w:val="001B2E64"/>
    <w:rsid w:val="001C4750"/>
    <w:rsid w:val="002C684C"/>
    <w:rsid w:val="002D02E9"/>
    <w:rsid w:val="00382683"/>
    <w:rsid w:val="003D2916"/>
    <w:rsid w:val="00494DD8"/>
    <w:rsid w:val="004D254F"/>
    <w:rsid w:val="004E5F57"/>
    <w:rsid w:val="00535C3E"/>
    <w:rsid w:val="0055374C"/>
    <w:rsid w:val="0072105B"/>
    <w:rsid w:val="00A0713C"/>
    <w:rsid w:val="00A21253"/>
    <w:rsid w:val="00B6577F"/>
    <w:rsid w:val="00C4313C"/>
    <w:rsid w:val="00DE3B7D"/>
    <w:rsid w:val="00F83326"/>
    <w:rsid w:val="00FA1BEC"/>
    <w:rsid w:val="5456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eastAsiaTheme="minorEastAsia"/>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文字 Char"/>
    <w:basedOn w:val="7"/>
    <w:link w:val="2"/>
    <w:uiPriority w:val="0"/>
    <w:rPr>
      <w:rFonts w:eastAsia="方正仿宋_GBK"/>
      <w:sz w:val="32"/>
      <w:szCs w:val="24"/>
    </w:rPr>
  </w:style>
  <w:style w:type="character" w:customStyle="1" w:styleId="11">
    <w:name w:val="批注框文本 Char"/>
    <w:basedOn w:val="7"/>
    <w:link w:val="3"/>
    <w:semiHidden/>
    <w:uiPriority w:val="99"/>
    <w:rPr>
      <w:rFonts w:eastAsia="方正仿宋_GBK"/>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1060</Words>
  <Characters>6047</Characters>
  <Lines>50</Lines>
  <Paragraphs>14</Paragraphs>
  <TotalTime>31</TotalTime>
  <ScaleCrop>false</ScaleCrop>
  <LinksUpToDate>false</LinksUpToDate>
  <CharactersWithSpaces>7093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2020-10-20T04:40:00Z</dcterms:created>
  <dc:creator>LQW</dc:creator>
  <cp:lastModifiedBy>pc</cp:lastModifiedBy>
  <cp:lastPrinted>2024-09-02T08:24:24Z</cp:lastPrinted>
  <dcterms:modified xsi:type="dcterms:W3CDTF">2024-09-02T08:24:28Z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4021279E62B94A26BDFD1F268B34F998_12</vt:lpwstr>
  </property>
</Properties>
</file>