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80" w:line="600" w:lineRule="atLeast"/>
        <w:jc w:val="center"/>
        <w:rPr>
          <w:rFonts w:ascii="方正小标宋_GBK" w:hAnsi="微软雅黑" w:eastAsia="方正小标宋_GBK" w:cs="宋体"/>
          <w:color w:val="auto"/>
          <w:kern w:val="0"/>
          <w:sz w:val="41"/>
          <w:szCs w:val="41"/>
        </w:rPr>
      </w:pP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  <w:lang w:eastAsia="zh-CN"/>
        </w:rPr>
        <w:instrText xml:space="preserve">ADDIN CNKISM.UserStyle</w:instrText>
      </w: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</w:rPr>
        <w:fldChar w:fldCharType="separate"/>
      </w: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</w:rPr>
        <w:fldChar w:fldCharType="end"/>
      </w: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</w:rPr>
        <w:t>202</w:t>
      </w: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  <w:lang w:val="en-US" w:eastAsia="zh-CN"/>
        </w:rPr>
        <w:t>3</w:t>
      </w: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</w:rPr>
        <w:t>年重庆两江新区国民经济和社会发展</w:t>
      </w:r>
    </w:p>
    <w:p>
      <w:pPr>
        <w:widowControl/>
        <w:spacing w:before="150" w:after="180" w:line="600" w:lineRule="atLeast"/>
        <w:jc w:val="center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方正小标宋_GBK" w:hAnsi="微软雅黑" w:eastAsia="方正小标宋_GBK" w:cs="宋体"/>
          <w:color w:val="auto"/>
          <w:kern w:val="0"/>
          <w:sz w:val="41"/>
          <w:szCs w:val="41"/>
        </w:rPr>
        <w:t>统计公报</w:t>
      </w:r>
    </w:p>
    <w:p>
      <w:pPr>
        <w:widowControl/>
        <w:spacing w:after="180" w:line="600" w:lineRule="atLeast"/>
        <w:jc w:val="center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方正楷体_GBK" w:hAnsi="微软雅黑" w:eastAsia="方正楷体_GBK" w:cs="宋体"/>
          <w:b/>
          <w:bCs/>
          <w:color w:val="auto"/>
          <w:kern w:val="0"/>
          <w:sz w:val="32"/>
          <w:szCs w:val="32"/>
        </w:rPr>
        <w:t>重庆两江新区经济运行局</w:t>
      </w:r>
    </w:p>
    <w:p>
      <w:pPr>
        <w:widowControl/>
        <w:shd w:val="clear" w:color="auto" w:fill="FFFFFF"/>
        <w:spacing w:after="180" w:line="600" w:lineRule="atLeast"/>
        <w:ind w:firstLine="645"/>
        <w:rPr>
          <w:rFonts w:ascii="方正仿宋_GBK" w:hAnsi="微软雅黑" w:eastAsia="方正仿宋_GBK" w:cs="宋体"/>
          <w:color w:val="FF0000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，经济运行局坚持以习近平新时代中国特色社会主义思想为指导，全面落实市委、市政府各项决策部署和新区党工委管委会的工作要求，全力抓调度、稳投资、保增长，持续深化重点领域改革，促进民营经济高质量发展，进一步强化对新区经济社会的宏观研究谋划和综合服务协调职能，有效推动经济社会高质量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微软雅黑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一、综合</w:t>
      </w:r>
    </w:p>
    <w:p>
      <w:pPr>
        <w:widowControl/>
        <w:shd w:val="clear" w:color="auto" w:fill="FFFFFF"/>
        <w:spacing w:after="180" w:line="600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初步核算，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直管区全年地区生产总值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2441.47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亿元，占全域的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52.5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%，按可比价计算，比上年增长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6.5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%。按产业分，第一产业增加值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21.85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4.9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%；第二产业增加值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1052.54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5.5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%；第三产业增加值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1367.08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7.3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%。三次产业结构比为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0.9: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43.1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: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56.0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after="180" w:line="600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after="180" w:line="600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after="180" w:line="600" w:lineRule="atLeast"/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图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　201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－202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年两江新区直管区三次产业结构 </w:t>
      </w:r>
    </w:p>
    <w:p>
      <w:pPr>
        <w:widowControl/>
        <w:spacing w:after="180" w:line="600" w:lineRule="atLeast"/>
        <w:jc w:val="center"/>
        <w:rPr>
          <w:rFonts w:hint="default" w:ascii="微软雅黑" w:hAnsi="微软雅黑" w:eastAsia="微软雅黑" w:cs="宋体"/>
          <w:color w:val="FF0000"/>
          <w:kern w:val="0"/>
          <w:sz w:val="24"/>
          <w:szCs w:val="24"/>
          <w:highlight w:val="none"/>
        </w:rPr>
      </w:pPr>
      <w:r>
        <w:rPr>
          <w:rFonts w:hint="default" w:ascii="微软雅黑" w:hAnsi="微软雅黑" w:eastAsia="微软雅黑" w:cs="宋体"/>
          <w:color w:val="FF0000"/>
          <w:kern w:val="0"/>
          <w:sz w:val="24"/>
          <w:szCs w:val="24"/>
          <w:highlight w:val="none"/>
        </w:rPr>
        <w:drawing>
          <wp:inline distT="0" distB="0" distL="114300" distR="114300">
            <wp:extent cx="5629275" cy="3495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600" w:lineRule="exact"/>
        <w:ind w:firstLine="646"/>
        <w:jc w:val="both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新产业新业态新模式逆势成长。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直管区全年规模以上工业战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 w:bidi="ar"/>
        </w:rPr>
        <w:t>略性新兴制造业产值比上年增长5.6%，占规模以上工业产值的比重54.6%。高端装备制造业、新能源汽车、节能环保产业、生物医药产业分别增长7.8%、47.7%、10.7%和21.6%。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全年高技术制造业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投资比上年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15.7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%，占工业投资的比重为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47.8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限额以上批发和零售企业实现网上商品零售额比上年增长16.</w:t>
      </w:r>
      <w:r>
        <w:rPr>
          <w:rFonts w:hint="default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%，高于社会消费品零售总额增速</w:t>
      </w:r>
      <w:r>
        <w:rPr>
          <w:rFonts w:hint="default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新增市场主体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2.91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万户，年末市场主体总数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认真落实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市委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一号工程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”部署要求，全方位融入和服务成渝地区双城经济圈建设，着力发挥旗舰引领作用</w:t>
      </w:r>
      <w:r>
        <w:rPr>
          <w:rFonts w:hint="eastAsia" w:eastAsia="方正仿宋_GBK"/>
          <w:sz w:val="33"/>
          <w:szCs w:val="33"/>
        </w:rPr>
        <w:t>。</w:t>
      </w:r>
      <w:r>
        <w:rPr>
          <w:rFonts w:hint="default" w:eastAsia="方正仿宋_GBK"/>
          <w:sz w:val="33"/>
          <w:szCs w:val="33"/>
        </w:rPr>
        <w:t>一是</w:t>
      </w:r>
      <w:r>
        <w:rPr>
          <w:rFonts w:hint="eastAsia" w:eastAsia="方正仿宋_GBK"/>
          <w:sz w:val="33"/>
          <w:szCs w:val="33"/>
        </w:rPr>
        <w:t>紧扣“高质量”，积极服务双城经济圈建设</w:t>
      </w:r>
      <w:r>
        <w:rPr>
          <w:rFonts w:hint="default" w:eastAsia="方正仿宋_GBK"/>
          <w:sz w:val="33"/>
          <w:szCs w:val="33"/>
        </w:rPr>
        <w:t>。</w:t>
      </w:r>
      <w:r>
        <w:rPr>
          <w:rFonts w:hint="eastAsia" w:eastAsia="方正仿宋_GBK"/>
          <w:sz w:val="33"/>
          <w:szCs w:val="33"/>
        </w:rPr>
        <w:t>聚焦推动“把坚持高质量发展作为新时代的硬道理”形成生动实践，对标落实《成渝地区双城经济圈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建设规划纲要》和全市“十行动”，结合新区实际，谋深做实“四张清单”，聚力建设重大平台56个，纵深推进重大改革20项，谋划推动重大项目155个，抓实落地重大政策30项。2023年，新区直管区GDP增长6.5%，规上工业增加值增长5.4%、限上社零总额增长15.8%，发展能级和综合竞争力进一步提升，有力服务和支撑双城经济圈建设接续推动、全面起势。</w:t>
      </w:r>
      <w:r>
        <w:rPr>
          <w:rFonts w:hint="default" w:eastAsia="方正仿宋_GBK"/>
          <w:sz w:val="33"/>
          <w:szCs w:val="33"/>
          <w:lang w:bidi="ar"/>
        </w:rPr>
        <w:t>二</w:t>
      </w:r>
      <w:r>
        <w:rPr>
          <w:rFonts w:hint="default" w:eastAsia="方正仿宋_GBK"/>
          <w:color w:val="000000"/>
          <w:sz w:val="32"/>
          <w:szCs w:val="32"/>
        </w:rPr>
        <w:t>是</w:t>
      </w:r>
      <w:r>
        <w:rPr>
          <w:rFonts w:hint="eastAsia" w:eastAsia="方正仿宋_GBK"/>
          <w:color w:val="000000"/>
          <w:sz w:val="32"/>
          <w:szCs w:val="32"/>
        </w:rPr>
        <w:t>紧扣“一体化”，携手加快打造重要引擎</w:t>
      </w:r>
      <w:r>
        <w:rPr>
          <w:rFonts w:hint="default" w:eastAsia="方正仿宋_GBK"/>
          <w:color w:val="000000"/>
          <w:sz w:val="32"/>
          <w:szCs w:val="32"/>
        </w:rPr>
        <w:t>。</w:t>
      </w:r>
      <w:r>
        <w:rPr>
          <w:rFonts w:hint="eastAsia" w:eastAsia="方正仿宋_GBK"/>
          <w:color w:val="000000"/>
          <w:sz w:val="32"/>
          <w:szCs w:val="32"/>
        </w:rPr>
        <w:t>切实担负起国家级新区落实国家战略部署的重大政治责任，聚焦“两中心两高地”战略目标，以深化两大新区协同合作为重点，携手加快打造双城经济圈建设重要引擎，同步拓展与宜宾、广安等合作范围，持续增强经济辐射力和发展带动力。三</w:t>
      </w:r>
      <w:r>
        <w:rPr>
          <w:rFonts w:hint="default" w:eastAsia="方正仿宋_GBK"/>
          <w:color w:val="000000"/>
          <w:sz w:val="32"/>
          <w:szCs w:val="32"/>
        </w:rPr>
        <w:t>是</w:t>
      </w:r>
      <w:r>
        <w:rPr>
          <w:rFonts w:hint="eastAsia" w:eastAsia="方正仿宋_GBK"/>
          <w:color w:val="000000"/>
          <w:sz w:val="32"/>
          <w:szCs w:val="32"/>
        </w:rPr>
        <w:t>紧扣“升级版”，努力打造重大标志性成果</w:t>
      </w:r>
      <w:r>
        <w:rPr>
          <w:rFonts w:hint="default" w:eastAsia="方正仿宋_GBK"/>
          <w:color w:val="000000"/>
          <w:sz w:val="32"/>
          <w:szCs w:val="32"/>
        </w:rPr>
        <w:t>。全面贯彻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落实市委关于</w:t>
      </w:r>
      <w:r>
        <w:rPr>
          <w:rFonts w:hint="eastAsia" w:eastAsia="方正仿宋_GBK" w:cs="方正仿宋_GBK"/>
          <w:kern w:val="0"/>
          <w:sz w:val="32"/>
          <w:szCs w:val="32"/>
          <w:lang w:bidi="ar"/>
        </w:rPr>
        <w:t>加快打造双城经济圈建设“一号工程”升级版的工作部署，牢牢把握高质量发展这个首要任务和构建新发展格局这个战略任务，紧扣“一体化”和“高质量”两个关键词，迭代升级总体思路、目标任务和举措抓手，在构建具有全国影响力、重庆辨识度的标志性成果体系上取得新成效、作出新贡献。</w:t>
      </w:r>
    </w:p>
    <w:p>
      <w:pPr>
        <w:snapToGrid w:val="0"/>
        <w:spacing w:before="0" w:after="0" w:line="600" w:lineRule="exact"/>
        <w:ind w:firstLine="646"/>
        <w:jc w:val="left"/>
        <w:rPr>
          <w:rFonts w:ascii="方正黑体_GBK" w:hAnsi="方正黑体_GBK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二、工业和建筑业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全年直管区工业增加值864.59亿元，占全域的63.7%，增长5.4%。规模以上工业总产值4166.7亿元，增长2.1%。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按轻重工业分：轻工业实现产值154.72亿元，增长13.4%，占全部规模以上工业的3.7%；重工业4011.98亿元，增长1.7%，占96.3%。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登记注册类型分：国有企业实现产值190.31亿元，增长3.6%，占全部规模以上工业的4.6%；私营企业1039.11亿元，增长22%，占24.9%；港澳台商投资企业152.74亿元，下降3.9%，占3.7%；外商投资企业1504.67亿元，增长0.2%，占36.1%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按产业分：汽车产业实现产值1846.77亿元，增长7.4%，占规模以上工业的44.3%；电子产业1588.55亿元，下降4.8%，占38.1%；装备制造业276.33亿元，下降0.8%，占6.6%；生物医药104.07亿元，增长24.7%，占比2.5%。</w:t>
      </w:r>
    </w:p>
    <w:p>
      <w:pPr>
        <w:snapToGrid w:val="0"/>
        <w:spacing w:before="0" w:after="0" w:line="600" w:lineRule="atLeast"/>
        <w:jc w:val="center"/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  <w:t>表1  2023年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规模以上</w:t>
      </w:r>
      <w:r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  <w:t>工业主要产品产量及其增长速度</w:t>
      </w:r>
    </w:p>
    <w:tbl>
      <w:tblPr>
        <w:tblStyle w:val="5"/>
        <w:tblW w:w="9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505"/>
        <w:gridCol w:w="1881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比上年增长（%）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汽车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116.11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#轿车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36.45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运动型多用途乘用车（SUV）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48.81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-11.2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新能源汽车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36.23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66.1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微型计算机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2370.89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-21.4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液晶显示屏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29423.49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31.3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工业机器人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4979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摩托车整车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亿千瓦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1.83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#汽车发动机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亿千瓦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1.76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橡胶轮胎外胎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万条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519.82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家用电冰箱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房间空气调节器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家用洗衣机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家用燃气热水器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化学药品原药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361.53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-53.6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啤  酒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万千升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29.69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工业自动调节仪表与控制系统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万台（套）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53.07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光学仪器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万台（个）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2.28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-31.7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光电子器件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亿  只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3.82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电子元件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亿  只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1.58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-16.8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商品混凝土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万立方米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507.76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  装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软饮料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  吨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20.13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-7.6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智能手机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智能手表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1422.66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85.6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工业仪表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万台（个）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830.36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19.9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印制电路板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万平方米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21.07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-17.8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集成电路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万块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22.07 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-49.8 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6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全年直管区规模以上工业企业393个，增长9.8%，亏损企业99个，占比25.2%。资产增长2.5%，负债增长5.9%，营业收入增长4.1%，营业成本增长4.3%，利税总额下降20.4%，税金总额下降15.8%，用工人数下降2.8%。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6"/>
        <w:jc w:val="both"/>
        <w:rPr>
          <w:rFonts w:hint="default" w:ascii="仿宋" w:hAnsi="仿宋" w:eastAsia="仿宋" w:cs="Times New Roman"/>
          <w:color w:val="000000"/>
          <w:kern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全年直管区建筑业增加值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eastAsia="zh-CN" w:bidi="ar"/>
        </w:rPr>
        <w:t>187.95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亿元，比上年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eastAsia="zh-CN" w:bidi="ar"/>
        </w:rPr>
        <w:t>增长8.8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%。直管区入统的具有资质等级的总承包和专业承包建筑企业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115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家，建筑业总产值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651.4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亿元，房屋建筑施工面积1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757.64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万平方米，房屋建筑竣工面积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456.15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万平方米，竣工房屋价值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190.45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亿元。</w:t>
      </w:r>
    </w:p>
    <w:p>
      <w:pPr>
        <w:snapToGrid w:val="0"/>
        <w:spacing w:before="0" w:after="0" w:line="600" w:lineRule="exact"/>
        <w:ind w:firstLine="646"/>
        <w:jc w:val="both"/>
        <w:rPr>
          <w:rFonts w:ascii="方正黑体_GBK" w:hAns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hAnsi="方正黑体_GBK" w:eastAsia="方正黑体_GBK"/>
          <w:color w:val="000000"/>
          <w:kern w:val="0"/>
          <w:sz w:val="32"/>
          <w:szCs w:val="32"/>
        </w:rPr>
        <w:t>三、服务业</w:t>
      </w:r>
    </w:p>
    <w:p>
      <w:pPr>
        <w:snapToGrid w:val="0"/>
        <w:spacing w:before="0" w:after="0" w:line="600" w:lineRule="exact"/>
        <w:ind w:firstLine="645"/>
        <w:jc w:val="both"/>
        <w:rPr>
          <w:rFonts w:hint="eastAsia" w:ascii="仿宋" w:hAnsi="仿宋" w:eastAsia="仿宋"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全年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eastAsia="zh-CN"/>
        </w:rPr>
        <w:t>直管区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批发和零售业增加值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146.54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亿元，比上年增长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23.3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%；交通运输、仓储和邮政业增加值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109.31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增长15.5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%；住宿和餐饮业增加值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31.48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增</w:t>
      </w:r>
      <w:bookmarkStart w:id="0" w:name="_GoBack"/>
      <w:bookmarkEnd w:id="0"/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长10.8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%；金融业增加值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434.11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3.1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%；房地产业增加值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73.24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亿元，下降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5.3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%；其他服务业增加值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572.06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7.0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全年规模以上服务业企业营业收入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  <w:lang w:eastAsia="zh-CN"/>
        </w:rPr>
        <w:t>1739.53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  <w:lang w:eastAsia="zh-CN"/>
        </w:rPr>
        <w:t>增长6.5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snapToGrid w:val="0"/>
        <w:spacing w:before="0" w:after="0" w:line="600" w:lineRule="exact"/>
        <w:ind w:firstLine="645"/>
        <w:jc w:val="both"/>
        <w:rPr>
          <w:rFonts w:hint="eastAsia" w:ascii="仿宋" w:hAnsi="仿宋" w:eastAsia="仿宋"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全年机场货物吞吐量38.89万吨，下降6.5%。机场旅客吞吐量4589.12万人次，增长104.3%，港口集装箱吞吐量99.0万标准箱，增长2.9%。</w:t>
      </w:r>
    </w:p>
    <w:p>
      <w:pPr>
        <w:snapToGrid w:val="0"/>
        <w:spacing w:before="0" w:after="0" w:line="600" w:lineRule="exact"/>
        <w:ind w:right="45" w:firstLine="646"/>
        <w:jc w:val="both"/>
        <w:rPr>
          <w:rFonts w:ascii="方正黑体_GBK" w:hAnsi="方正黑体_GBK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四、国内贸易</w:t>
      </w:r>
    </w:p>
    <w:p>
      <w:pPr>
        <w:snapToGrid w:val="0"/>
        <w:spacing w:before="0" w:after="0" w:line="600" w:lineRule="exact"/>
        <w:ind w:firstLine="646"/>
        <w:jc w:val="both"/>
        <w:rPr>
          <w:rFonts w:hint="eastAsia" w:ascii="仿宋" w:hAnsi="仿宋" w:eastAsia="仿宋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全年直管区社会消费品零售总额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814.41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亿元，比上年增长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15.8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%。商品销售额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4485.00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25.6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%。住宿和餐饮业营业额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93.50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18.1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</w:t>
      </w:r>
    </w:p>
    <w:p>
      <w:pPr>
        <w:snapToGrid w:val="0"/>
        <w:spacing w:before="0" w:after="0" w:line="600" w:lineRule="exact"/>
        <w:ind w:firstLine="646"/>
        <w:jc w:val="both"/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在限额以上法人企业商品零售额中，粮油、食品类比上年增长4.5%，饮料类下降10.8%，烟酒类下降1.5%，服装、鞋帽、针纺织品类下降25.5%，化妆品类增长3.3%，金银珠宝类下降0.1%，日用品类下降49.8%，中西药品类增长28.0%，文化办公用品类增长7.2%，通讯器材类下降4.8%，石油及制品类增长3.5%，汽车类增长3.8%。</w:t>
      </w:r>
    </w:p>
    <w:p>
      <w:pPr>
        <w:snapToGrid w:val="0"/>
        <w:spacing w:before="0" w:after="0" w:line="600" w:lineRule="exact"/>
        <w:ind w:right="45" w:firstLine="646"/>
        <w:jc w:val="both"/>
        <w:rPr>
          <w:rFonts w:ascii="方正黑体_GBK" w:hAnsi="方正黑体_GBK" w:eastAsia="方正黑体_GBK"/>
          <w:color w:val="auto"/>
          <w:kern w:val="0"/>
          <w:sz w:val="32"/>
          <w:szCs w:val="32"/>
        </w:rPr>
      </w:pPr>
      <w:r>
        <w:rPr>
          <w:rFonts w:ascii="方正黑体_GBK" w:hAnsi="方正黑体_GBK" w:eastAsia="方正黑体_GBK"/>
          <w:color w:val="auto"/>
          <w:kern w:val="0"/>
          <w:sz w:val="32"/>
          <w:szCs w:val="32"/>
        </w:rPr>
        <w:t>五、固定资产投资</w:t>
      </w:r>
    </w:p>
    <w:p>
      <w:pPr>
        <w:snapToGrid w:val="0"/>
        <w:spacing w:before="0" w:after="0" w:line="600" w:lineRule="exact"/>
        <w:ind w:firstLine="646"/>
        <w:jc w:val="both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t>全年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直管区</w:t>
      </w:r>
      <w:r>
        <w:rPr>
          <w:rFonts w:ascii="仿宋" w:hAnsi="仿宋" w:eastAsia="仿宋"/>
          <w:color w:val="auto"/>
          <w:kern w:val="0"/>
          <w:sz w:val="32"/>
          <w:szCs w:val="32"/>
        </w:rPr>
        <w:t>固定资产投资总额比上年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1.3%。其中，基础设施建设投资增长21.6%，工业投资增长15.8%，房地产开发投资下降21.5%，民间投资下降0.6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ascii="仿宋" w:hAnsi="仿宋" w:eastAsia="仿宋"/>
          <w:color w:val="auto"/>
          <w:kern w:val="0"/>
          <w:sz w:val="32"/>
          <w:szCs w:val="32"/>
          <w:highlight w:val="none"/>
        </w:rPr>
        <w:t>。</w:t>
      </w:r>
    </w:p>
    <w:p>
      <w:pPr>
        <w:snapToGrid w:val="0"/>
        <w:spacing w:before="0" w:after="0" w:line="600" w:lineRule="atLeast"/>
        <w:jc w:val="center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t>表2  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两江新区直管区</w:t>
      </w:r>
      <w:r>
        <w:rPr>
          <w:rFonts w:ascii="仿宋" w:hAnsi="仿宋" w:eastAsia="仿宋"/>
          <w:color w:val="auto"/>
          <w:kern w:val="0"/>
          <w:sz w:val="32"/>
          <w:szCs w:val="32"/>
        </w:rPr>
        <w:t>固定资产投资增长速度</w:t>
      </w:r>
    </w:p>
    <w:tbl>
      <w:tblPr>
        <w:tblStyle w:val="6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84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  <w:tblHeader/>
        </w:trPr>
        <w:tc>
          <w:tcPr>
            <w:tcW w:w="484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2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</w:rPr>
              <w:t>比上年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增速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>固定资产投资完成额</w:t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1.3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#基础设施投资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21.6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按构成分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建筑安装工程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4.0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按产业分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第二产业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15.8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  #工  业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   #工业技改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17.5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第三产业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-3.5</w:t>
            </w: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4845" w:type="dxa"/>
            <w:tcBorders>
              <w:top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  <w:t xml:space="preserve">       #房地产业</w:t>
            </w:r>
          </w:p>
        </w:tc>
        <w:tc>
          <w:tcPr>
            <w:tcW w:w="4200" w:type="dxa"/>
            <w:tcBorders>
              <w:top w:val="nil"/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  <w:t>-21.5</w:t>
            </w:r>
          </w:p>
        </w:tc>
      </w:tr>
    </w:tbl>
    <w:p>
      <w:pPr>
        <w:snapToGrid w:val="0"/>
        <w:spacing w:before="0" w:after="0" w:line="600" w:lineRule="exact"/>
        <w:ind w:firstLine="646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全年直管区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房地产开发投资375.17亿元，比上年下降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21.5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%。其中，住宅投资264.44亿元，下降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27.3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%；办公楼投资10.89亿元，下降3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34.2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%；商业营业用房投资28.42亿元，下降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%。</w:t>
      </w:r>
    </w:p>
    <w:p>
      <w:pPr>
        <w:snapToGrid w:val="0"/>
        <w:spacing w:before="0" w:after="0" w:line="600" w:lineRule="atLeas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年商品房建设与销售主要指标及其增长速度</w:t>
      </w:r>
    </w:p>
    <w:tbl>
      <w:tblPr>
        <w:tblStyle w:val="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3975"/>
        <w:gridCol w:w="253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tblHeader/>
          <w:jc w:val="center"/>
        </w:trPr>
        <w:tc>
          <w:tcPr>
            <w:tcW w:w="39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</w:rPr>
              <w:t>指标名称</w:t>
            </w:r>
          </w:p>
        </w:tc>
        <w:tc>
          <w:tcPr>
            <w:tcW w:w="2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</w:rPr>
              <w:t>绝对量</w:t>
            </w:r>
          </w:p>
        </w:tc>
        <w:tc>
          <w:tcPr>
            <w:tcW w:w="2535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</w:rPr>
              <w:t>比上年增长（%）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施工面积（万平方米）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3295.30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　＃住宅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2077.46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办公楼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167.86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商业营业用房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346.44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其中：新开工面积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232.65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＃住宅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146.45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  办公楼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  商业营业用房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30.76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竣工面积（万平方米）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505.81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　＃住宅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373.49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办公楼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9.76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商业营业用房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33.03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销售面积（万平方米）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359.08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　＃住宅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205.58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办公楼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11.89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商业营业用房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21.81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销售额（亿元）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311.94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>　＃住宅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254.74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办公楼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14.86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3975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highlight w:val="none"/>
              </w:rPr>
              <w:t xml:space="preserve">    商业营业用房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15.97 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-59.9 </w:t>
            </w:r>
          </w:p>
        </w:tc>
      </w:tr>
    </w:tbl>
    <w:p>
      <w:pPr>
        <w:snapToGrid w:val="0"/>
        <w:spacing w:before="0" w:after="0" w:line="600" w:lineRule="exact"/>
        <w:ind w:right="45" w:firstLine="646"/>
        <w:jc w:val="both"/>
        <w:rPr>
          <w:rFonts w:ascii="方正黑体_GBK" w:hAnsi="方正黑体_GBK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六、对外经济</w:t>
      </w:r>
    </w:p>
    <w:p>
      <w:pPr>
        <w:snapToGrid w:val="0"/>
        <w:spacing w:before="0" w:after="0" w:line="600" w:lineRule="exact"/>
        <w:ind w:right="45" w:firstLine="646"/>
        <w:jc w:val="both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全年全区货物进出口额2656亿元，下降10%，与全市持平，占全市比重达37.1%。其中，出口1714.9亿元，全区占比64.6%；进口941.2亿元，全区占比35.4%。</w:t>
      </w:r>
    </w:p>
    <w:p>
      <w:pPr>
        <w:snapToGrid w:val="0"/>
        <w:spacing w:before="0" w:after="0" w:line="600" w:lineRule="exact"/>
        <w:ind w:right="45" w:firstLine="646"/>
        <w:jc w:val="both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全年全区实际使用外资7.3亿美元。其中，金融业5.2亿美元，占比70.90%；制造业1.1亿美元，占比15.53%；服务业0.1亿美元，占比13.56%。直管区实际使用外资2.2亿美元，全区占比29.75%。</w:t>
      </w:r>
    </w:p>
    <w:p>
      <w:pPr>
        <w:snapToGrid w:val="0"/>
        <w:spacing w:before="0" w:after="0" w:line="600" w:lineRule="exact"/>
        <w:ind w:right="45" w:firstLine="646"/>
        <w:jc w:val="both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深化自贸试验区探索实践，2023年在全国率先实施海铁联运铬矿“原箱转关”试点、落地西部首票海铁联运境内铁路运费扣减，新增企业园区“云上共享法庭”等9个案例在全市复制推广。自贸区新增市场主体4997家，新增注册资本金558.9亿元，累计达4.1万户，注册资本超过6200亿元。</w:t>
      </w:r>
    </w:p>
    <w:p>
      <w:pPr>
        <w:snapToGrid w:val="0"/>
        <w:spacing w:before="0" w:after="0" w:line="600" w:lineRule="exact"/>
        <w:ind w:right="45" w:firstLine="646"/>
        <w:jc w:val="both"/>
        <w:rPr>
          <w:rFonts w:ascii="方正黑体_GBK" w:hAnsi="方正黑体_GBK" w:eastAsia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/>
          <w:color w:val="auto"/>
          <w:kern w:val="0"/>
          <w:sz w:val="32"/>
          <w:szCs w:val="32"/>
          <w:lang w:eastAsia="zh-CN"/>
        </w:rPr>
        <w:t>七</w:t>
      </w:r>
      <w:r>
        <w:rPr>
          <w:rFonts w:ascii="方正黑体_GBK" w:hAnsi="方正黑体_GBK" w:eastAsia="方正黑体_GBK"/>
          <w:color w:val="auto"/>
          <w:kern w:val="0"/>
          <w:sz w:val="32"/>
          <w:szCs w:val="32"/>
        </w:rPr>
        <w:t>、财政金融</w:t>
      </w:r>
    </w:p>
    <w:p>
      <w:pPr>
        <w:snapToGrid w:val="0"/>
        <w:spacing w:before="0" w:after="0" w:line="600" w:lineRule="exact"/>
        <w:ind w:firstLine="646"/>
        <w:jc w:val="both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全年直管区</w:t>
      </w:r>
      <w:r>
        <w:rPr>
          <w:rFonts w:ascii="仿宋" w:hAnsi="仿宋" w:eastAsia="仿宋"/>
          <w:color w:val="auto"/>
          <w:kern w:val="0"/>
          <w:sz w:val="32"/>
          <w:szCs w:val="32"/>
        </w:rPr>
        <w:t>一般公共预算收入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121.81</w:t>
      </w:r>
      <w:r>
        <w:rPr>
          <w:rFonts w:ascii="仿宋" w:hAnsi="仿宋" w:eastAsia="仿宋"/>
          <w:color w:val="auto"/>
          <w:kern w:val="0"/>
          <w:sz w:val="32"/>
          <w:szCs w:val="32"/>
        </w:rPr>
        <w:t>亿元，比上年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9.3</w:t>
      </w:r>
      <w:r>
        <w:rPr>
          <w:rFonts w:ascii="宋体" w:hAnsi="宋体" w:eastAsia="宋体"/>
          <w:color w:val="auto"/>
          <w:kern w:val="0"/>
          <w:sz w:val="32"/>
          <w:szCs w:val="32"/>
        </w:rPr>
        <w:t>%</w:t>
      </w:r>
      <w:r>
        <w:rPr>
          <w:rFonts w:ascii="仿宋" w:hAnsi="仿宋" w:eastAsia="仿宋"/>
          <w:color w:val="auto"/>
          <w:kern w:val="0"/>
          <w:sz w:val="32"/>
          <w:szCs w:val="32"/>
        </w:rPr>
        <w:t>。其中税收收入</w:t>
      </w:r>
      <w:r>
        <w:rPr>
          <w:rFonts w:hint="eastAsia" w:ascii="宋体" w:hAnsi="宋体" w:eastAsia="宋体"/>
          <w:color w:val="auto"/>
          <w:kern w:val="0"/>
          <w:sz w:val="32"/>
          <w:szCs w:val="32"/>
          <w:lang w:val="en-US" w:eastAsia="zh-CN"/>
        </w:rPr>
        <w:t>104.03</w:t>
      </w:r>
      <w:r>
        <w:rPr>
          <w:rFonts w:ascii="仿宋" w:hAnsi="仿宋" w:eastAsia="仿宋"/>
          <w:color w:val="auto"/>
          <w:kern w:val="0"/>
          <w:sz w:val="32"/>
          <w:szCs w:val="32"/>
        </w:rPr>
        <w:t>亿元，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增长12.4</w:t>
      </w:r>
      <w:r>
        <w:rPr>
          <w:rFonts w:ascii="宋体" w:hAnsi="宋体" w:eastAsia="宋体"/>
          <w:color w:val="auto"/>
          <w:kern w:val="0"/>
          <w:sz w:val="32"/>
          <w:szCs w:val="32"/>
        </w:rPr>
        <w:t>%</w:t>
      </w:r>
      <w:r>
        <w:rPr>
          <w:rFonts w:ascii="仿宋" w:hAnsi="仿宋" w:eastAsia="仿宋"/>
          <w:color w:val="auto"/>
          <w:kern w:val="0"/>
          <w:sz w:val="32"/>
          <w:szCs w:val="32"/>
        </w:rPr>
        <w:t>。直管区一般公共预算支出</w:t>
      </w:r>
      <w:r>
        <w:rPr>
          <w:rFonts w:hint="eastAsia" w:ascii="宋体" w:hAnsi="宋体" w:eastAsia="宋体"/>
          <w:color w:val="auto"/>
          <w:kern w:val="0"/>
          <w:sz w:val="32"/>
          <w:szCs w:val="32"/>
          <w:lang w:val="en-US" w:eastAsia="zh-CN"/>
        </w:rPr>
        <w:t>182.67</w:t>
      </w:r>
      <w:r>
        <w:rPr>
          <w:rFonts w:ascii="仿宋" w:hAnsi="仿宋" w:eastAsia="仿宋"/>
          <w:color w:val="auto"/>
          <w:kern w:val="0"/>
          <w:sz w:val="32"/>
          <w:szCs w:val="32"/>
        </w:rPr>
        <w:t>亿元，比上年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2.4</w:t>
      </w:r>
      <w:r>
        <w:rPr>
          <w:rFonts w:ascii="宋体" w:hAnsi="宋体" w:eastAsia="宋体"/>
          <w:color w:val="auto"/>
          <w:kern w:val="0"/>
          <w:sz w:val="32"/>
          <w:szCs w:val="32"/>
        </w:rPr>
        <w:t>%</w:t>
      </w:r>
      <w:r>
        <w:rPr>
          <w:rFonts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napToGrid w:val="0"/>
        <w:spacing w:before="0" w:after="0" w:line="600" w:lineRule="exact"/>
        <w:ind w:firstLine="646"/>
        <w:jc w:val="both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年末全区金融机构本外币存款余额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15315.01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亿元，比上年末增长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2.9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%。其中，人民币存款余额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14858.87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4.2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%。金融机构本外币贷款余额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21586.32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亿元，比上年末增长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4.2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%。其中，人民币贷款余额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21033.86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亿元，增长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</w:rPr>
        <w:t>3.9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%。</w:t>
      </w:r>
    </w:p>
    <w:p>
      <w:pPr>
        <w:snapToGrid w:val="0"/>
        <w:spacing w:before="0" w:after="0" w:line="600" w:lineRule="exact"/>
        <w:ind w:right="45" w:firstLine="645"/>
        <w:jc w:val="both"/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  <w:t xml:space="preserve">  20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  <w:t>年末金融机构存贷款余额及其增长速度</w:t>
      </w:r>
    </w:p>
    <w:tbl>
      <w:tblPr>
        <w:tblStyle w:val="5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1"/>
        <w:gridCol w:w="164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Header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12月末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本外币存款余额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15315.01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#非银行业金融机构存款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2567.09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住户存款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4421.36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非金融企业存款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7290.65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人民币存款余额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14858.87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#国库定期存款（12MIS）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293.00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本外币贷款余额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21586.32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#非银行业金融机构贷款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37.26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住户贷款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7376.09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#企事业单位贷款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14162.06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# 票据融资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1884.48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制造业贷款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1709.39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建筑业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575.94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批发和零售业贷款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575.27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交通运输、仓储和邮政业贷款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3167.76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住宿和餐饮业贷款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21.68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信息传输、软件和信息技术服务业贷款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55.02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房地产业贷款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826.77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科学研究和技术服务业贷款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59.18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教育贷款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37.38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卫生和社会工作贷款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16.82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文化、体育和娱乐业贷款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61.89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人民币贷款余额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21033.86</w:t>
            </w:r>
          </w:p>
        </w:tc>
        <w:tc>
          <w:tcPr>
            <w:tcW w:w="16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</w:tbl>
    <w:p>
      <w:pPr>
        <w:snapToGrid w:val="0"/>
        <w:spacing w:before="0" w:after="0" w:line="600" w:lineRule="exact"/>
        <w:ind w:right="45" w:firstLine="645"/>
        <w:jc w:val="both"/>
        <w:rPr>
          <w:rFonts w:hint="eastAsia" w:ascii="仿宋" w:hAnsi="仿宋" w:eastAsia="仿宋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全区共有证券公司总部1家。境内上市公司27家，总股本595亿股，股票总市值5540亿元。全年全区通过境内证券市场IPO和增发股票0.81亿股。</w:t>
      </w:r>
    </w:p>
    <w:p>
      <w:pPr>
        <w:snapToGrid w:val="0"/>
        <w:spacing w:before="0" w:after="0" w:line="600" w:lineRule="exact"/>
        <w:ind w:right="45" w:firstLine="645"/>
        <w:jc w:val="both"/>
        <w:rPr>
          <w:rFonts w:ascii="方正黑体_GBK" w:hAns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hAnsi="方正黑体_GBK" w:eastAsia="方正黑体_GBK"/>
          <w:color w:val="000000"/>
          <w:kern w:val="0"/>
          <w:sz w:val="32"/>
          <w:szCs w:val="32"/>
        </w:rPr>
        <w:t>八、居民收入</w:t>
      </w:r>
    </w:p>
    <w:p>
      <w:pPr>
        <w:snapToGrid w:val="0"/>
        <w:spacing w:before="0" w:after="0" w:line="600" w:lineRule="exact"/>
        <w:ind w:firstLine="645"/>
        <w:jc w:val="both"/>
        <w:rPr>
          <w:rFonts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全区居民人均可支配收入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53640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元，比上年增长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4.3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%。按常住地分，城镇居民人均可支配收入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54012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元，增长4.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%；农村居民人均可支配收入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29069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元，增长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6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</w:t>
      </w:r>
    </w:p>
    <w:p>
      <w:pPr>
        <w:snapToGrid w:val="0"/>
        <w:spacing w:before="0" w:after="0" w:line="600" w:lineRule="exact"/>
        <w:ind w:firstLineChars="200"/>
        <w:jc w:val="both"/>
        <w:rPr>
          <w:rFonts w:ascii="方正黑体_GBK" w:hAns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hAnsi="方正黑体_GBK" w:eastAsia="方正黑体_GBK"/>
          <w:color w:val="000000"/>
          <w:kern w:val="0"/>
          <w:sz w:val="32"/>
          <w:szCs w:val="32"/>
        </w:rPr>
        <w:t>九、招商引资</w:t>
      </w:r>
    </w:p>
    <w:p>
      <w:pPr>
        <w:snapToGrid w:val="0"/>
        <w:spacing w:before="0" w:after="0" w:line="600" w:lineRule="exact"/>
        <w:ind w:firstLine="645"/>
        <w:jc w:val="both"/>
        <w:rPr>
          <w:rFonts w:hint="eastAsia" w:ascii="仿宋" w:hAnsi="仿宋" w:eastAsia="仿宋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2023年，直管区纳入市招商投资局统计签约项目97个，合同投资总额1417.63亿元，完成市招商投资局下达1400亿元目标任务的101.3%。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新签约百亿级项目3个，五十亿级项目4个，二十亿级项目14个。投资100亿元及以上项目3个，合同投资额410亿元，占总额的29%；投资50-100亿元项目4个，合同投资额267.1亿元，占总额的19%；投资20-50亿元项目14个，合同投资额367.38亿元，占总额的26%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snapToGrid w:val="0"/>
        <w:spacing w:before="0" w:after="0" w:line="600" w:lineRule="exact"/>
        <w:ind w:firstLineChars="200"/>
        <w:jc w:val="both"/>
        <w:rPr>
          <w:rFonts w:ascii="方正黑体_GBK" w:hAns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hAnsi="方正黑体_GBK" w:eastAsia="方正黑体_GBK"/>
          <w:color w:val="000000"/>
          <w:kern w:val="0"/>
          <w:sz w:val="32"/>
          <w:szCs w:val="32"/>
        </w:rPr>
        <w:t>十、科学技术</w:t>
      </w:r>
    </w:p>
    <w:p>
      <w:pPr>
        <w:snapToGrid w:val="0"/>
        <w:spacing w:before="0" w:after="0" w:line="600" w:lineRule="exact"/>
        <w:ind w:firstLine="645"/>
        <w:jc w:val="both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eastAsia="zh-CN"/>
        </w:rPr>
        <w:t>全年直管区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研究与试验发展（R&amp;D）经费支出占全区地区生产总值的比重约为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5.4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</w:rPr>
        <w:t>%。</w:t>
      </w:r>
    </w:p>
    <w:p>
      <w:pPr>
        <w:snapToGrid w:val="0"/>
        <w:spacing w:before="0" w:after="0" w:line="600" w:lineRule="exact"/>
        <w:ind w:firstLine="645"/>
        <w:jc w:val="both"/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直管区创新主体加快成长，高新技术企业新增150家、累计突破930家、占全市12%，高新技术企业申报量和存量均居全市第一；科技型企业新增1270家、累计达5300家，新增市级“专精特新”183家、累计416家，新增国家专精特新“小巨人”企业8家、累计43家，居全市第一。创新要素加快集聚，新增技术创新中心5家、累计达到12家，新增区级以上双创载体8家，总数达68家，获批国家级和市级博士后科研工作站74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仿宋" w:hAnsi="仿宋" w:eastAsia="仿宋"/>
          <w:color w:val="000000"/>
          <w:kern w:val="0"/>
          <w:sz w:val="32"/>
          <w:szCs w:val="32"/>
          <w:highlight w:val="none"/>
        </w:rPr>
        <w:t>创新创业氛围日趋浓厚。高标准承办首届“一带一路”科技交流大会的产业变革与企业技术创新圆桌会议。成功举办首届2023中国—新加坡（重庆）国际科技交流与创新大会、明月湖π全球创新大会、2023全球6G大会、2023WEB3.0创新大赛。</w:t>
      </w:r>
    </w:p>
    <w:p>
      <w:pPr>
        <w:snapToGrid w:val="0"/>
        <w:spacing w:before="0" w:after="0" w:line="600" w:lineRule="exact"/>
        <w:jc w:val="left"/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 xml:space="preserve"> </w:t>
      </w:r>
    </w:p>
    <w:p>
      <w:pPr>
        <w:snapToGrid w:val="0"/>
        <w:spacing w:before="0" w:after="0" w:line="600" w:lineRule="exact"/>
        <w:jc w:val="left"/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snapToGrid w:val="0"/>
        <w:spacing w:before="0" w:after="0" w:line="600" w:lineRule="exact"/>
        <w:ind w:firstLine="562" w:firstLineChars="200"/>
        <w:jc w:val="left"/>
        <w:rPr>
          <w:rFonts w:ascii="仿宋" w:hAnsi="仿宋" w:eastAsia="仿宋"/>
          <w:b/>
          <w:bCs/>
          <w:color w:val="auto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kern w:val="0"/>
          <w:sz w:val="28"/>
          <w:szCs w:val="28"/>
        </w:rPr>
        <w:t>注：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1.</w:t>
      </w:r>
      <w:r>
        <w:rPr>
          <w:rFonts w:ascii="仿宋" w:hAnsi="仿宋" w:eastAsia="仿宋"/>
          <w:color w:val="auto"/>
          <w:kern w:val="0"/>
          <w:sz w:val="28"/>
          <w:szCs w:val="28"/>
        </w:rPr>
        <w:t>按照《关于调整优化两江新区管理体制的决定》（渝委发﹝2016﹞7号），两江新区直管区域包括：鸳鸯、人和、天宫殿、翠云、大竹林、礼嘉、金山、康美等8个直属街道，鱼嘴镇、复盛镇、郭家沱街道、龙兴镇、石船镇、水土镇、复兴镇等7个建制街镇，以及保税港区、江北嘴、悦来投资集团、港务物流集团在两江新区范围内开发管理区域，共638平方公里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Times New Roman" w:hAnsi="Times New Roman" w:eastAsia="Times New Roman"/>
          <w:color w:val="auto"/>
          <w:kern w:val="0"/>
          <w:sz w:val="28"/>
          <w:szCs w:val="28"/>
        </w:rPr>
        <w:t>2.</w:t>
      </w:r>
      <w:r>
        <w:rPr>
          <w:rFonts w:ascii="仿宋" w:hAnsi="仿宋" w:eastAsia="仿宋"/>
          <w:color w:val="auto"/>
          <w:kern w:val="0"/>
          <w:sz w:val="28"/>
          <w:szCs w:val="28"/>
        </w:rPr>
        <w:t>本公报中</w:t>
      </w:r>
      <w:r>
        <w:rPr>
          <w:rFonts w:ascii="宋体" w:hAnsi="宋体" w:eastAsia="宋体"/>
          <w:color w:val="auto"/>
          <w:kern w:val="0"/>
          <w:sz w:val="28"/>
          <w:szCs w:val="28"/>
        </w:rPr>
        <w:t>2023</w:t>
      </w:r>
      <w:r>
        <w:rPr>
          <w:rFonts w:ascii="仿宋" w:hAnsi="仿宋" w:eastAsia="仿宋"/>
          <w:color w:val="auto"/>
          <w:kern w:val="0"/>
          <w:sz w:val="28"/>
          <w:szCs w:val="28"/>
        </w:rPr>
        <w:t>年数据均为初步统计数，部分数据因四舍五入的原因，存在与分项合计不等的情况。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3.</w:t>
      </w:r>
      <w:r>
        <w:rPr>
          <w:rFonts w:ascii="仿宋" w:hAnsi="仿宋" w:eastAsia="仿宋"/>
          <w:color w:val="auto"/>
          <w:kern w:val="0"/>
          <w:sz w:val="28"/>
          <w:szCs w:val="28"/>
        </w:rPr>
        <w:t>地区生产总值、各产业增加值绝对量按现价计算，增长速度按可比价计算。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4.</w:t>
      </w:r>
      <w:r>
        <w:rPr>
          <w:rFonts w:ascii="仿宋" w:hAnsi="仿宋" w:eastAsia="仿宋"/>
          <w:color w:val="auto"/>
          <w:kern w:val="0"/>
          <w:sz w:val="28"/>
          <w:szCs w:val="28"/>
        </w:rPr>
        <w:t>其他服务业包括农、林、牧、渔专业及辅助性活动，信息传输、软件和信息技术服务业，租赁和商务服务业，科学研究和技术服务业，水利、环境和公共设施管理业，居民服务、修理和其他服务业，教育，卫生和社会工作，文化、体育和娱乐业，公共管理、社会保障和社会组织等行业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5.</w:t>
      </w:r>
      <w:r>
        <w:rPr>
          <w:rFonts w:ascii="仿宋" w:hAnsi="仿宋" w:eastAsia="仿宋"/>
          <w:color w:val="auto"/>
          <w:kern w:val="0"/>
          <w:sz w:val="28"/>
          <w:szCs w:val="28"/>
        </w:rPr>
        <w:t>常住人口是指在本乡镇（街道）居住半年以上的人口，或虽居住不满半年，但离开户口登记地半年以上人口以及户口待定人口。外出市外人口是指户口所在地为重庆市，现居住在重庆市外，离开户口登记地半年以上的人口。市外外来人口是指户口所在地为重庆市外，现居住在重庆市内，离开户口登记地半年以上的人口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6.</w:t>
      </w:r>
      <w:r>
        <w:rPr>
          <w:rFonts w:ascii="仿宋" w:hAnsi="仿宋" w:eastAsia="仿宋"/>
          <w:color w:val="auto"/>
          <w:kern w:val="0"/>
          <w:sz w:val="28"/>
          <w:szCs w:val="28"/>
        </w:rPr>
        <w:t>高技术制造业包括医药制造业，航空、航天器及设备制造业，电子及通信设备制造业，计算机及办公设备制造业，医疗仪器设备及仪器仪表制造业，信息化学品制造业。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7.</w:t>
      </w:r>
      <w:r>
        <w:rPr>
          <w:rFonts w:ascii="仿宋" w:hAnsi="仿宋" w:eastAsia="仿宋"/>
          <w:color w:val="auto"/>
          <w:kern w:val="0"/>
          <w:sz w:val="28"/>
          <w:szCs w:val="28"/>
        </w:rPr>
        <w:t>工业战略性新兴制造业包括新一代信息技术产业，高端装备制造产业，新材料产业，生物产业，新能源汽车产业，新能源产业，节能环保产业和数字创意产业等八大产业中的工业相关行业。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8.</w:t>
      </w:r>
      <w:r>
        <w:rPr>
          <w:rFonts w:ascii="仿宋" w:hAnsi="仿宋" w:eastAsia="仿宋"/>
          <w:color w:val="auto"/>
          <w:kern w:val="0"/>
          <w:sz w:val="28"/>
          <w:szCs w:val="28"/>
        </w:rPr>
        <w:t>基础设施投资是指建造或购置为社会生产和生活提供基础性、大众性服务的工程和设施的支出。本公报中的基础设施投资包括电力、热力、燃气及水生产和供应业，交通运输、邮政业，电信、广播电视和卫星传输服务业，互联网和相关服务业，水利、环境和公共设施管理业投资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宋体" w:hAnsi="宋体" w:eastAsia="宋体"/>
          <w:color w:val="auto"/>
          <w:kern w:val="0"/>
          <w:sz w:val="28"/>
          <w:szCs w:val="28"/>
        </w:rPr>
        <w:t>9.</w:t>
      </w:r>
      <w:r>
        <w:rPr>
          <w:rFonts w:ascii="仿宋" w:hAnsi="仿宋" w:eastAsia="仿宋"/>
          <w:color w:val="auto"/>
          <w:kern w:val="0"/>
          <w:sz w:val="28"/>
          <w:szCs w:val="28"/>
        </w:rPr>
        <w:t>民间固定资产投资是指具有集体、私营、个人性质的内资企事业单位以及由其控股（包括绝对控股和相对控股）的企业单位建造或购置固定资产的投资。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10.行业统计标准：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规模以上工业：年主营业务收入</w:t>
      </w:r>
      <w:r>
        <w:rPr>
          <w:rFonts w:ascii="宋体" w:hAnsi="宋体" w:eastAsia="宋体"/>
          <w:color w:val="auto"/>
          <w:kern w:val="0"/>
          <w:sz w:val="28"/>
          <w:szCs w:val="28"/>
        </w:rPr>
        <w:t>2000</w:t>
      </w:r>
      <w:r>
        <w:rPr>
          <w:rFonts w:ascii="仿宋" w:hAnsi="仿宋" w:eastAsia="仿宋"/>
          <w:color w:val="auto"/>
          <w:kern w:val="0"/>
          <w:sz w:val="28"/>
          <w:szCs w:val="28"/>
        </w:rPr>
        <w:t>万元及以上的工业法人单位。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有资质的建筑业：有总承包和专业承包资质的建筑业法人单位。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限额以上批发和零售业：年主营业务收入</w:t>
      </w:r>
      <w:r>
        <w:rPr>
          <w:rFonts w:ascii="宋体" w:hAnsi="宋体" w:eastAsia="宋体"/>
          <w:color w:val="auto"/>
          <w:kern w:val="0"/>
          <w:sz w:val="28"/>
          <w:szCs w:val="28"/>
        </w:rPr>
        <w:t>2000</w:t>
      </w:r>
      <w:r>
        <w:rPr>
          <w:rFonts w:ascii="仿宋" w:hAnsi="仿宋" w:eastAsia="仿宋"/>
          <w:color w:val="auto"/>
          <w:kern w:val="0"/>
          <w:sz w:val="28"/>
          <w:szCs w:val="28"/>
        </w:rPr>
        <w:t>万元及以上的批发业、年主营业务收入</w:t>
      </w:r>
      <w:r>
        <w:rPr>
          <w:rFonts w:ascii="宋体" w:hAnsi="宋体" w:eastAsia="宋体"/>
          <w:color w:val="auto"/>
          <w:kern w:val="0"/>
          <w:sz w:val="28"/>
          <w:szCs w:val="28"/>
        </w:rPr>
        <w:t>500</w:t>
      </w:r>
      <w:r>
        <w:rPr>
          <w:rFonts w:ascii="仿宋" w:hAnsi="仿宋" w:eastAsia="仿宋"/>
          <w:color w:val="auto"/>
          <w:kern w:val="0"/>
          <w:sz w:val="28"/>
          <w:szCs w:val="28"/>
        </w:rPr>
        <w:t>万元及以上的零售业法人单位。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限额以上住宿和餐饮业：年主营业务收入</w:t>
      </w:r>
      <w:r>
        <w:rPr>
          <w:rFonts w:ascii="宋体" w:hAnsi="宋体" w:eastAsia="宋体"/>
          <w:color w:val="auto"/>
          <w:kern w:val="0"/>
          <w:sz w:val="28"/>
          <w:szCs w:val="28"/>
        </w:rPr>
        <w:t>200</w:t>
      </w:r>
      <w:r>
        <w:rPr>
          <w:rFonts w:ascii="仿宋" w:hAnsi="仿宋" w:eastAsia="仿宋"/>
          <w:color w:val="auto"/>
          <w:kern w:val="0"/>
          <w:sz w:val="28"/>
          <w:szCs w:val="28"/>
        </w:rPr>
        <w:t>万元及以上的住宿和餐饮业法人单位。</w:t>
      </w:r>
    </w:p>
    <w:p>
      <w:pPr>
        <w:snapToGrid w:val="0"/>
        <w:spacing w:before="0" w:after="0" w:line="600" w:lineRule="exact"/>
        <w:ind w:firstLine="555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房地产开发经营业：全部房地产开发经营业法人单位。</w:t>
      </w:r>
    </w:p>
    <w:p>
      <w:pPr>
        <w:snapToGrid w:val="0"/>
        <w:spacing w:before="0" w:after="0" w:line="600" w:lineRule="exact"/>
        <w:ind w:firstLine="555"/>
        <w:jc w:val="both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规模以上服务业： 年营业收入2000万元以上的服务业法人单位。包括：交通运输、仓储和邮政业；信息传输、软件和信息技术服务；水利、环境和公共设施管理业；卫生行业。年营业收入1000万元以上的服务业法人单位。包括：租赁和商务服务业；科学研究和技术服务业；教育；物业管理；房地产中介服务；房地产租赁经营和其他房地产业等。年营业收入500万元以上的服务业法人单位。包括：居民服务、修理和其他服务业；文化、体育和娱乐业；社会工作等行业。</w:t>
      </w:r>
    </w:p>
    <w:p>
      <w:pPr>
        <w:snapToGrid w:val="0"/>
        <w:spacing w:before="0" w:after="0" w:line="600" w:lineRule="exact"/>
        <w:ind w:firstLine="555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b/>
          <w:bCs/>
          <w:color w:val="auto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kern w:val="0"/>
          <w:sz w:val="28"/>
          <w:szCs w:val="28"/>
        </w:rPr>
        <w:t>资料来源（以文中数据为序）：</w:t>
      </w:r>
    </w:p>
    <w:p>
      <w:pPr>
        <w:snapToGrid w:val="0"/>
        <w:spacing w:before="0" w:after="0" w:line="600" w:lineRule="exact"/>
        <w:ind w:firstLine="555"/>
        <w:jc w:val="left"/>
        <w:rPr>
          <w:rFonts w:ascii="等线" w:hAnsi="等线" w:eastAsia="等线"/>
          <w:color w:val="auto"/>
          <w:sz w:val="20"/>
          <w:szCs w:val="20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本公报中货物进出口、对外经济数据、自贸区来自现代服务业局（自贸办），财政数据来自财政局，金融数据来自现代服务业局，科技数据来自科技创新局，招商数据来自招商集团。其他数据来自经济运行局。</w:t>
      </w:r>
    </w:p>
    <w:p>
      <w:pPr>
        <w:widowControl/>
        <w:spacing w:line="600" w:lineRule="exact"/>
        <w:ind w:firstLine="555"/>
        <w:jc w:val="left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984" w:right="1474" w:bottom="181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32"/>
        <w:szCs w:val="32"/>
      </w:rPr>
    </w:pPr>
    <w:r>
      <w:rPr>
        <w:rFonts w:hint="eastAsia" w:ascii="宋体" w:hAnsi="宋体" w:eastAsia="宋体"/>
        <w:sz w:val="32"/>
        <w:szCs w:val="32"/>
      </w:rPr>
      <w:t>—</w:t>
    </w:r>
    <w:sdt>
      <w:sdtPr>
        <w:rPr>
          <w:rFonts w:ascii="宋体" w:hAnsi="宋体" w:eastAsia="宋体"/>
          <w:sz w:val="32"/>
          <w:szCs w:val="32"/>
        </w:rPr>
        <w:id w:val="1"/>
        <w:docPartObj>
          <w:docPartGallery w:val="autotext"/>
        </w:docPartObj>
      </w:sdtPr>
      <w:sdtEndPr>
        <w:rPr>
          <w:rFonts w:ascii="宋体" w:hAnsi="宋体" w:eastAsia="宋体"/>
          <w:sz w:val="32"/>
          <w:szCs w:val="32"/>
        </w:rPr>
      </w:sdtEndPr>
      <w:sdtContent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PAGE   \* MERGEFORMAT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2</w:t>
        </w:r>
        <w:r>
          <w:rPr>
            <w:rFonts w:ascii="宋体" w:hAnsi="宋体" w:eastAsia="宋体"/>
            <w:sz w:val="32"/>
            <w:szCs w:val="32"/>
          </w:rPr>
          <w:fldChar w:fldCharType="end"/>
        </w:r>
        <w:r>
          <w:rPr>
            <w:rFonts w:hint="eastAsia" w:ascii="宋体" w:hAnsi="宋体" w:eastAsia="宋体"/>
            <w:sz w:val="32"/>
            <w:szCs w:val="32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2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M2QwZmYwMjQ2OThlM2RhYjE2ODJkYWUxYTJkYmUifQ=="/>
  </w:docVars>
  <w:rsids>
    <w:rsidRoot w:val="00172A27"/>
    <w:rsid w:val="000F78E6"/>
    <w:rsid w:val="001722E4"/>
    <w:rsid w:val="001F2926"/>
    <w:rsid w:val="00275EF0"/>
    <w:rsid w:val="003A649D"/>
    <w:rsid w:val="0040553F"/>
    <w:rsid w:val="0042680D"/>
    <w:rsid w:val="00434612"/>
    <w:rsid w:val="0047703A"/>
    <w:rsid w:val="004C39B7"/>
    <w:rsid w:val="005050A3"/>
    <w:rsid w:val="005559D1"/>
    <w:rsid w:val="005E02B6"/>
    <w:rsid w:val="0065497A"/>
    <w:rsid w:val="00664922"/>
    <w:rsid w:val="006E5161"/>
    <w:rsid w:val="007A1420"/>
    <w:rsid w:val="007A4C4D"/>
    <w:rsid w:val="00865434"/>
    <w:rsid w:val="008774E2"/>
    <w:rsid w:val="008A2E22"/>
    <w:rsid w:val="008D5F83"/>
    <w:rsid w:val="009A38F5"/>
    <w:rsid w:val="00A61A4A"/>
    <w:rsid w:val="00A63CE9"/>
    <w:rsid w:val="00A742D6"/>
    <w:rsid w:val="00AB0DCE"/>
    <w:rsid w:val="00AC52E5"/>
    <w:rsid w:val="00AE457E"/>
    <w:rsid w:val="00B2674B"/>
    <w:rsid w:val="00B62A6A"/>
    <w:rsid w:val="00BE004D"/>
    <w:rsid w:val="00BF2612"/>
    <w:rsid w:val="00BF6491"/>
    <w:rsid w:val="00C6168F"/>
    <w:rsid w:val="00CB40E6"/>
    <w:rsid w:val="00D05688"/>
    <w:rsid w:val="00D154DC"/>
    <w:rsid w:val="00D6301A"/>
    <w:rsid w:val="00DF1000"/>
    <w:rsid w:val="00E1592A"/>
    <w:rsid w:val="00EA15D3"/>
    <w:rsid w:val="00EA779F"/>
    <w:rsid w:val="00EF34CB"/>
    <w:rsid w:val="00EF50D3"/>
    <w:rsid w:val="00F10CC4"/>
    <w:rsid w:val="00F97072"/>
    <w:rsid w:val="01F1534B"/>
    <w:rsid w:val="0233611A"/>
    <w:rsid w:val="02376EA3"/>
    <w:rsid w:val="09A43D99"/>
    <w:rsid w:val="0B3756AF"/>
    <w:rsid w:val="0D607C16"/>
    <w:rsid w:val="12AA12B5"/>
    <w:rsid w:val="1B4A1EC2"/>
    <w:rsid w:val="1F1F2448"/>
    <w:rsid w:val="1FFD78D3"/>
    <w:rsid w:val="20C370B1"/>
    <w:rsid w:val="22531B7C"/>
    <w:rsid w:val="232D40F4"/>
    <w:rsid w:val="23A84C45"/>
    <w:rsid w:val="253050F6"/>
    <w:rsid w:val="292A6196"/>
    <w:rsid w:val="29C57B6B"/>
    <w:rsid w:val="3485084C"/>
    <w:rsid w:val="35B7AF69"/>
    <w:rsid w:val="37976208"/>
    <w:rsid w:val="38084D57"/>
    <w:rsid w:val="38E76635"/>
    <w:rsid w:val="3AFF1069"/>
    <w:rsid w:val="3C573309"/>
    <w:rsid w:val="3D496274"/>
    <w:rsid w:val="3E3514A1"/>
    <w:rsid w:val="3EE5612D"/>
    <w:rsid w:val="402839F7"/>
    <w:rsid w:val="42807ABE"/>
    <w:rsid w:val="42F239D8"/>
    <w:rsid w:val="46CF36A5"/>
    <w:rsid w:val="47630A46"/>
    <w:rsid w:val="48085DD6"/>
    <w:rsid w:val="4B1A272B"/>
    <w:rsid w:val="4D68398E"/>
    <w:rsid w:val="4F575A07"/>
    <w:rsid w:val="4FFF0FD7"/>
    <w:rsid w:val="513D0888"/>
    <w:rsid w:val="518014CC"/>
    <w:rsid w:val="53BD58CC"/>
    <w:rsid w:val="5663134A"/>
    <w:rsid w:val="5E5B5776"/>
    <w:rsid w:val="5F5F0603"/>
    <w:rsid w:val="5F87F695"/>
    <w:rsid w:val="645C350C"/>
    <w:rsid w:val="6A2608FC"/>
    <w:rsid w:val="6BA61867"/>
    <w:rsid w:val="6C92192E"/>
    <w:rsid w:val="6E210653"/>
    <w:rsid w:val="6EA26DBF"/>
    <w:rsid w:val="6F2C5613"/>
    <w:rsid w:val="73D86ADB"/>
    <w:rsid w:val="73E76D71"/>
    <w:rsid w:val="75867E0D"/>
    <w:rsid w:val="75FD77FE"/>
    <w:rsid w:val="78774035"/>
    <w:rsid w:val="7A813C38"/>
    <w:rsid w:val="7D4E5902"/>
    <w:rsid w:val="7DDF6343"/>
    <w:rsid w:val="7EFF5B31"/>
    <w:rsid w:val="7F0E73E5"/>
    <w:rsid w:val="7F6FC5D4"/>
    <w:rsid w:val="8FCD29DB"/>
    <w:rsid w:val="9F162849"/>
    <w:rsid w:val="B6F3F31A"/>
    <w:rsid w:val="B7F2CD79"/>
    <w:rsid w:val="BB1B1739"/>
    <w:rsid w:val="DBEF4ACA"/>
    <w:rsid w:val="EF7A4A5B"/>
    <w:rsid w:val="F3D7A80B"/>
    <w:rsid w:val="F9EF2F36"/>
    <w:rsid w:val="FED51AB6"/>
    <w:rsid w:val="FEFC4A73"/>
    <w:rsid w:val="FF3BEB46"/>
    <w:rsid w:val="FFB944B7"/>
    <w:rsid w:val="FFDDE2AD"/>
    <w:rsid w:val="FFF610BC"/>
    <w:rsid w:val="FFF69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it1"/>
    <w:basedOn w:val="7"/>
    <w:qFormat/>
    <w:uiPriority w:val="0"/>
  </w:style>
  <w:style w:type="character" w:customStyle="1" w:styleId="11">
    <w:name w:val="con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5350</Words>
  <Characters>6638</Characters>
  <Lines>1</Lines>
  <Paragraphs>1</Paragraphs>
  <TotalTime>10</TotalTime>
  <ScaleCrop>false</ScaleCrop>
  <LinksUpToDate>false</LinksUpToDate>
  <CharactersWithSpaces>6913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2021-03-31T09:47:00Z</dcterms:created>
  <dc:creator>yb</dc:creator>
  <cp:lastModifiedBy>HP</cp:lastModifiedBy>
  <dcterms:modified xsi:type="dcterms:W3CDTF">2024-03-25T08:56:50Z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B0024FDA42094B4EA82F5A6040B66539</vt:lpwstr>
  </property>
  <property fmtid="{D5CDD505-2E9C-101B-9397-08002B2CF9AE}" pid="4" name="commondata">
    <vt:lpwstr>eyJoZGlkIjoiNDc5M2QwZmYwMjQ2OThlM2RhYjE2ODJkYWUxYTJkYmUifQ==</vt:lpwstr>
  </property>
</Properties>
</file>