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0" w:after="180" w:line="600" w:lineRule="atLeast"/>
        <w:jc w:val="center"/>
        <w:rPr>
          <w:rFonts w:ascii="方正小标宋_GBK" w:hAnsi="微软雅黑" w:eastAsia="方正小标宋_GBK" w:cs="宋体"/>
          <w:color w:val="auto"/>
          <w:kern w:val="0"/>
          <w:sz w:val="41"/>
          <w:szCs w:val="41"/>
        </w:rPr>
      </w:pPr>
      <w:r>
        <w:rPr>
          <w:rFonts w:hint="eastAsia" w:ascii="方正小标宋_GBK" w:hAnsi="微软雅黑" w:eastAsia="方正小标宋_GBK" w:cs="宋体"/>
          <w:color w:val="auto"/>
          <w:kern w:val="0"/>
          <w:sz w:val="41"/>
          <w:szCs w:val="41"/>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方正小标宋_GBK" w:hAnsi="微软雅黑" w:eastAsia="方正小标宋_GBK" w:cs="宋体"/>
          <w:color w:val="auto"/>
          <w:kern w:val="0"/>
          <w:sz w:val="41"/>
          <w:szCs w:val="41"/>
          <w:lang w:eastAsia="zh-CN"/>
        </w:rPr>
        <w:instrText xml:space="preserve">ADDIN CNKISM.UserStyle</w:instrText>
      </w:r>
      <w:r>
        <w:rPr>
          <w:rFonts w:hint="eastAsia" w:ascii="方正小标宋_GBK" w:hAnsi="微软雅黑" w:eastAsia="方正小标宋_GBK" w:cs="宋体"/>
          <w:color w:val="auto"/>
          <w:kern w:val="0"/>
          <w:sz w:val="41"/>
          <w:szCs w:val="41"/>
        </w:rPr>
        <w:fldChar w:fldCharType="separate"/>
      </w:r>
      <w:r>
        <w:rPr>
          <w:rFonts w:hint="eastAsia" w:ascii="方正小标宋_GBK" w:hAnsi="微软雅黑" w:eastAsia="方正小标宋_GBK" w:cs="宋体"/>
          <w:color w:val="auto"/>
          <w:kern w:val="0"/>
          <w:sz w:val="41"/>
          <w:szCs w:val="41"/>
        </w:rPr>
        <w:fldChar w:fldCharType="end"/>
      </w:r>
      <w:r>
        <w:rPr>
          <w:rFonts w:hint="eastAsia" w:ascii="方正小标宋_GBK" w:hAnsi="微软雅黑" w:eastAsia="方正小标宋_GBK" w:cs="宋体"/>
          <w:color w:val="auto"/>
          <w:kern w:val="0"/>
          <w:sz w:val="41"/>
          <w:szCs w:val="41"/>
        </w:rPr>
        <w:t>202</w:t>
      </w:r>
      <w:r>
        <w:rPr>
          <w:rFonts w:hint="eastAsia" w:ascii="方正小标宋_GBK" w:hAnsi="微软雅黑" w:eastAsia="方正小标宋_GBK" w:cs="宋体"/>
          <w:color w:val="auto"/>
          <w:kern w:val="0"/>
          <w:sz w:val="41"/>
          <w:szCs w:val="41"/>
          <w:lang w:val="en-US" w:eastAsia="zh-CN"/>
        </w:rPr>
        <w:t>2</w:t>
      </w:r>
      <w:r>
        <w:rPr>
          <w:rFonts w:hint="eastAsia" w:ascii="方正小标宋_GBK" w:hAnsi="微软雅黑" w:eastAsia="方正小标宋_GBK" w:cs="宋体"/>
          <w:color w:val="auto"/>
          <w:kern w:val="0"/>
          <w:sz w:val="41"/>
          <w:szCs w:val="41"/>
        </w:rPr>
        <w:t>年重庆两江新区国民经济和社会发展</w:t>
      </w:r>
    </w:p>
    <w:p>
      <w:pPr>
        <w:widowControl/>
        <w:spacing w:before="150" w:after="180" w:line="600" w:lineRule="atLeast"/>
        <w:jc w:val="center"/>
        <w:rPr>
          <w:rFonts w:ascii="微软雅黑" w:hAnsi="微软雅黑" w:eastAsia="微软雅黑" w:cs="宋体"/>
          <w:color w:val="auto"/>
          <w:kern w:val="0"/>
          <w:sz w:val="24"/>
          <w:szCs w:val="24"/>
        </w:rPr>
      </w:pPr>
      <w:r>
        <w:rPr>
          <w:rFonts w:hint="eastAsia" w:ascii="方正小标宋_GBK" w:hAnsi="微软雅黑" w:eastAsia="方正小标宋_GBK" w:cs="宋体"/>
          <w:color w:val="auto"/>
          <w:kern w:val="0"/>
          <w:sz w:val="41"/>
          <w:szCs w:val="41"/>
        </w:rPr>
        <w:t>统计公报</w:t>
      </w:r>
    </w:p>
    <w:p>
      <w:pPr>
        <w:widowControl/>
        <w:spacing w:after="180" w:line="600" w:lineRule="atLeast"/>
        <w:jc w:val="center"/>
        <w:rPr>
          <w:rFonts w:ascii="微软雅黑" w:hAnsi="微软雅黑" w:eastAsia="微软雅黑" w:cs="宋体"/>
          <w:color w:val="auto"/>
          <w:kern w:val="0"/>
          <w:sz w:val="24"/>
          <w:szCs w:val="24"/>
        </w:rPr>
      </w:pPr>
      <w:r>
        <w:rPr>
          <w:rFonts w:hint="eastAsia" w:ascii="方正楷体_GBK" w:hAnsi="微软雅黑" w:eastAsia="方正楷体_GBK" w:cs="宋体"/>
          <w:b/>
          <w:bCs/>
          <w:color w:val="auto"/>
          <w:kern w:val="0"/>
          <w:sz w:val="32"/>
          <w:szCs w:val="32"/>
        </w:rPr>
        <w:t>重庆两江新区经济运行局</w:t>
      </w:r>
    </w:p>
    <w:p>
      <w:pPr>
        <w:widowControl/>
        <w:shd w:val="clear" w:color="auto" w:fill="FFFFFF"/>
        <w:spacing w:after="180" w:line="600" w:lineRule="atLeast"/>
        <w:ind w:firstLine="645"/>
        <w:rPr>
          <w:rFonts w:ascii="方正仿宋_GBK" w:hAnsi="微软雅黑" w:eastAsia="方正仿宋_GBK" w:cs="宋体"/>
          <w:color w:val="FF0000"/>
          <w:kern w:val="0"/>
          <w:sz w:val="32"/>
          <w:szCs w:val="32"/>
        </w:rPr>
      </w:pPr>
    </w:p>
    <w:p>
      <w:pPr>
        <w:widowControl/>
        <w:shd w:val="clear" w:color="auto" w:fill="FFFFFF"/>
        <w:spacing w:after="180" w:line="600" w:lineRule="atLeast"/>
        <w:ind w:firstLine="645"/>
        <w:rPr>
          <w:rFonts w:ascii="微软雅黑" w:hAnsi="微软雅黑" w:eastAsia="微软雅黑" w:cs="宋体"/>
          <w:color w:val="FF0000"/>
          <w:kern w:val="0"/>
          <w:sz w:val="24"/>
          <w:szCs w:val="24"/>
        </w:rPr>
      </w:pPr>
      <w:r>
        <w:rPr>
          <w:rFonts w:hint="eastAsia" w:ascii="仿宋" w:hAnsi="仿宋" w:eastAsia="仿宋"/>
          <w:color w:val="auto"/>
          <w:kern w:val="0"/>
          <w:sz w:val="32"/>
          <w:szCs w:val="32"/>
        </w:rPr>
        <w:t>今年以来，</w:t>
      </w:r>
      <w:r>
        <w:rPr>
          <w:rFonts w:hint="eastAsia" w:ascii="仿宋" w:hAnsi="仿宋" w:eastAsia="仿宋"/>
          <w:color w:val="auto"/>
          <w:kern w:val="0"/>
          <w:sz w:val="32"/>
          <w:szCs w:val="32"/>
          <w:lang w:val="en-US" w:eastAsia="zh-CN"/>
        </w:rPr>
        <w:t>两江新区</w:t>
      </w:r>
      <w:r>
        <w:rPr>
          <w:rFonts w:hint="eastAsia" w:ascii="仿宋" w:hAnsi="仿宋" w:eastAsia="仿宋"/>
          <w:color w:val="auto"/>
          <w:kern w:val="0"/>
          <w:sz w:val="32"/>
          <w:szCs w:val="32"/>
        </w:rPr>
        <w:t>深入学习贯彻党的二十大精神和市第六次党代会精神，紧紧围绕进一步把习近平总书记殷殷嘱托全面落实在重庆大地上这条主线，严格按照“疫情要防住、经济要稳住、发展要安全”的总体要求，全面落实市委、市政府各项决策部署和新区干部大会暨营商环境推进大会要求，高效统筹疫情防控和经济社会发展，统筹发展和安全。面对复杂严峻的外部环境和疫情反复、高温干旱、能源短缺等多重考验，</w:t>
      </w:r>
      <w:r>
        <w:rPr>
          <w:rFonts w:hint="eastAsia" w:ascii="仿宋" w:hAnsi="仿宋" w:eastAsia="仿宋"/>
          <w:color w:val="auto"/>
          <w:kern w:val="0"/>
          <w:sz w:val="32"/>
          <w:szCs w:val="32"/>
          <w:lang w:val="en-US" w:eastAsia="zh-CN"/>
        </w:rPr>
        <w:t>两江新区</w:t>
      </w:r>
      <w:r>
        <w:rPr>
          <w:rFonts w:hint="eastAsia" w:ascii="仿宋" w:hAnsi="仿宋" w:eastAsia="仿宋"/>
          <w:color w:val="auto"/>
          <w:kern w:val="0"/>
          <w:sz w:val="32"/>
          <w:szCs w:val="32"/>
        </w:rPr>
        <w:t>全体干部职工凝心聚力、敢于担当、积极作为，始终把抓改革、促发展、稳增长、保运行放在更加突出位置，加力实施并落实系列稳住经济大盘政策举措，着力保市场主体、促消费、稳就业、保民生，有效对冲了各类超因素预期，经济形势总体趋势向好，生产生活秩序稳定有序恢复。</w:t>
      </w:r>
    </w:p>
    <w:p>
      <w:pPr>
        <w:widowControl/>
        <w:spacing w:after="180" w:line="600" w:lineRule="atLeast"/>
        <w:ind w:right="45" w:firstLine="645"/>
        <w:rPr>
          <w:rFonts w:ascii="微软雅黑" w:hAnsi="微软雅黑" w:eastAsia="微软雅黑" w:cs="宋体"/>
          <w:color w:val="auto"/>
          <w:kern w:val="0"/>
          <w:sz w:val="24"/>
          <w:szCs w:val="24"/>
        </w:rPr>
      </w:pPr>
      <w:r>
        <w:rPr>
          <w:rFonts w:hint="eastAsia" w:ascii="方正黑体_GBK" w:hAnsi="微软雅黑" w:eastAsia="方正黑体_GBK" w:cs="宋体"/>
          <w:color w:val="auto"/>
          <w:kern w:val="0"/>
          <w:sz w:val="32"/>
          <w:szCs w:val="32"/>
        </w:rPr>
        <w:t>一、综合</w:t>
      </w:r>
    </w:p>
    <w:p>
      <w:pPr>
        <w:widowControl/>
        <w:shd w:val="clear" w:color="auto" w:fill="FFFFFF"/>
        <w:spacing w:after="180" w:line="600" w:lineRule="atLeast"/>
        <w:ind w:firstLine="645"/>
        <w:rPr>
          <w:rFonts w:hint="eastAsia" w:ascii="仿宋" w:hAnsi="仿宋" w:eastAsia="仿宋"/>
          <w:color w:val="auto"/>
          <w:kern w:val="0"/>
          <w:sz w:val="32"/>
          <w:szCs w:val="32"/>
          <w:lang w:val="en-US" w:eastAsia="zh-CN"/>
        </w:rPr>
      </w:pPr>
      <w:r>
        <w:rPr>
          <w:rFonts w:hint="eastAsia" w:ascii="仿宋" w:hAnsi="仿宋" w:eastAsia="仿宋"/>
          <w:color w:val="auto"/>
          <w:kern w:val="0"/>
          <w:sz w:val="32"/>
          <w:szCs w:val="32"/>
        </w:rPr>
        <w:t>初步核算，</w:t>
      </w:r>
      <w:r>
        <w:rPr>
          <w:rFonts w:hint="eastAsia" w:ascii="仿宋" w:hAnsi="仿宋" w:eastAsia="仿宋"/>
          <w:color w:val="auto"/>
          <w:kern w:val="0"/>
          <w:sz w:val="32"/>
          <w:szCs w:val="32"/>
          <w:lang w:eastAsia="zh-CN"/>
        </w:rPr>
        <w:t>直管区全年地区生产总值2426.63亿元，占全域的53%，按可比价计算，比上年增长3.6%。按产业分，第一产业增加值</w:t>
      </w:r>
      <w:r>
        <w:rPr>
          <w:rFonts w:hint="eastAsia" w:ascii="仿宋" w:hAnsi="仿宋" w:eastAsia="仿宋"/>
          <w:color w:val="auto"/>
          <w:kern w:val="0"/>
          <w:sz w:val="32"/>
          <w:szCs w:val="32"/>
        </w:rPr>
        <w:t>20.48</w:t>
      </w:r>
      <w:r>
        <w:rPr>
          <w:rFonts w:hint="eastAsia" w:ascii="仿宋" w:hAnsi="仿宋" w:eastAsia="仿宋"/>
          <w:color w:val="auto"/>
          <w:kern w:val="0"/>
          <w:sz w:val="32"/>
          <w:szCs w:val="32"/>
          <w:lang w:eastAsia="zh-CN"/>
        </w:rPr>
        <w:t>亿元，增长3.7%；第二产业增加值</w:t>
      </w:r>
      <w:r>
        <w:rPr>
          <w:rFonts w:hint="eastAsia" w:ascii="仿宋" w:hAnsi="仿宋" w:eastAsia="仿宋"/>
          <w:color w:val="auto"/>
          <w:kern w:val="0"/>
          <w:sz w:val="32"/>
          <w:szCs w:val="32"/>
        </w:rPr>
        <w:t>1124.08</w:t>
      </w:r>
      <w:r>
        <w:rPr>
          <w:rFonts w:hint="eastAsia" w:ascii="仿宋" w:hAnsi="仿宋" w:eastAsia="仿宋"/>
          <w:color w:val="auto"/>
          <w:kern w:val="0"/>
          <w:sz w:val="32"/>
          <w:szCs w:val="32"/>
          <w:lang w:eastAsia="zh-CN"/>
        </w:rPr>
        <w:t>亿元，增长</w:t>
      </w:r>
      <w:r>
        <w:rPr>
          <w:rFonts w:hint="eastAsia" w:ascii="仿宋" w:hAnsi="仿宋" w:eastAsia="仿宋"/>
          <w:color w:val="auto"/>
          <w:kern w:val="0"/>
          <w:sz w:val="32"/>
          <w:szCs w:val="32"/>
        </w:rPr>
        <w:t>3.0</w:t>
      </w:r>
      <w:r>
        <w:rPr>
          <w:rFonts w:hint="eastAsia" w:ascii="仿宋" w:hAnsi="仿宋" w:eastAsia="仿宋"/>
          <w:color w:val="auto"/>
          <w:kern w:val="0"/>
          <w:sz w:val="32"/>
          <w:szCs w:val="32"/>
          <w:lang w:eastAsia="zh-CN"/>
        </w:rPr>
        <w:t>%；第三产业增加值</w:t>
      </w:r>
      <w:r>
        <w:rPr>
          <w:rFonts w:hint="eastAsia" w:ascii="仿宋" w:hAnsi="仿宋" w:eastAsia="仿宋"/>
          <w:color w:val="auto"/>
          <w:kern w:val="0"/>
          <w:sz w:val="32"/>
          <w:szCs w:val="32"/>
        </w:rPr>
        <w:t>1282.07</w:t>
      </w:r>
      <w:r>
        <w:rPr>
          <w:rFonts w:hint="eastAsia" w:ascii="仿宋" w:hAnsi="仿宋" w:eastAsia="仿宋"/>
          <w:color w:val="auto"/>
          <w:kern w:val="0"/>
          <w:sz w:val="32"/>
          <w:szCs w:val="32"/>
          <w:lang w:eastAsia="zh-CN"/>
        </w:rPr>
        <w:t>亿元，增长4.</w:t>
      </w:r>
      <w:r>
        <w:rPr>
          <w:rFonts w:hint="eastAsia" w:ascii="仿宋" w:hAnsi="仿宋" w:eastAsia="仿宋"/>
          <w:color w:val="auto"/>
          <w:kern w:val="0"/>
          <w:sz w:val="32"/>
          <w:szCs w:val="32"/>
          <w:lang w:val="en-US" w:eastAsia="zh-CN"/>
        </w:rPr>
        <w:t>1</w:t>
      </w:r>
      <w:r>
        <w:rPr>
          <w:rFonts w:hint="eastAsia" w:ascii="仿宋" w:hAnsi="仿宋" w:eastAsia="仿宋"/>
          <w:color w:val="auto"/>
          <w:kern w:val="0"/>
          <w:sz w:val="32"/>
          <w:szCs w:val="32"/>
          <w:lang w:eastAsia="zh-CN"/>
        </w:rPr>
        <w:t>%。三次产业结构比为</w:t>
      </w:r>
      <w:r>
        <w:rPr>
          <w:rFonts w:hint="eastAsia" w:ascii="仿宋" w:hAnsi="仿宋" w:eastAsia="仿宋"/>
          <w:color w:val="auto"/>
          <w:kern w:val="0"/>
          <w:sz w:val="32"/>
          <w:szCs w:val="32"/>
        </w:rPr>
        <w:t>0.9:46.3:52.8</w:t>
      </w:r>
      <w:r>
        <w:rPr>
          <w:rFonts w:hint="eastAsia" w:ascii="仿宋" w:hAnsi="仿宋" w:eastAsia="仿宋"/>
          <w:color w:val="auto"/>
          <w:kern w:val="0"/>
          <w:sz w:val="32"/>
          <w:szCs w:val="32"/>
          <w:lang w:eastAsia="zh-CN"/>
        </w:rPr>
        <w:t>。</w:t>
      </w:r>
    </w:p>
    <w:p>
      <w:pPr>
        <w:widowControl/>
        <w:shd w:val="clear" w:color="auto" w:fill="FFFFFF"/>
        <w:spacing w:after="180" w:line="600" w:lineRule="atLeast"/>
        <w:jc w:val="center"/>
        <w:rPr>
          <w:rFonts w:hint="eastAsia" w:ascii="仿宋" w:hAnsi="仿宋" w:eastAsia="仿宋"/>
          <w:color w:val="auto"/>
          <w:kern w:val="0"/>
          <w:sz w:val="32"/>
          <w:szCs w:val="32"/>
          <w:lang w:eastAsia="zh-CN"/>
        </w:rPr>
      </w:pPr>
      <w:r>
        <w:rPr>
          <w:rFonts w:hint="eastAsia" w:ascii="仿宋" w:hAnsi="仿宋" w:eastAsia="仿宋"/>
          <w:color w:val="auto"/>
          <w:kern w:val="0"/>
          <w:sz w:val="32"/>
          <w:szCs w:val="32"/>
          <w:lang w:eastAsia="zh-CN"/>
        </w:rPr>
        <w:t>图　201</w:t>
      </w:r>
      <w:r>
        <w:rPr>
          <w:rFonts w:hint="eastAsia" w:ascii="仿宋" w:hAnsi="仿宋" w:eastAsia="仿宋"/>
          <w:color w:val="auto"/>
          <w:kern w:val="0"/>
          <w:sz w:val="32"/>
          <w:szCs w:val="32"/>
          <w:lang w:val="en-US" w:eastAsia="zh-CN"/>
        </w:rPr>
        <w:t>7</w:t>
      </w:r>
      <w:r>
        <w:rPr>
          <w:rFonts w:hint="eastAsia" w:ascii="仿宋" w:hAnsi="仿宋" w:eastAsia="仿宋"/>
          <w:color w:val="auto"/>
          <w:kern w:val="0"/>
          <w:sz w:val="32"/>
          <w:szCs w:val="32"/>
          <w:lang w:eastAsia="zh-CN"/>
        </w:rPr>
        <w:t>－202</w:t>
      </w:r>
      <w:r>
        <w:rPr>
          <w:rFonts w:hint="eastAsia" w:ascii="仿宋" w:hAnsi="仿宋" w:eastAsia="仿宋"/>
          <w:color w:val="auto"/>
          <w:kern w:val="0"/>
          <w:sz w:val="32"/>
          <w:szCs w:val="32"/>
          <w:lang w:val="en-US" w:eastAsia="zh-CN"/>
        </w:rPr>
        <w:t>2</w:t>
      </w:r>
      <w:r>
        <w:rPr>
          <w:rFonts w:hint="eastAsia" w:ascii="仿宋" w:hAnsi="仿宋" w:eastAsia="仿宋"/>
          <w:color w:val="auto"/>
          <w:kern w:val="0"/>
          <w:sz w:val="32"/>
          <w:szCs w:val="32"/>
          <w:lang w:eastAsia="zh-CN"/>
        </w:rPr>
        <w:t>年两江新区直管区三次产业结构 </w:t>
      </w:r>
    </w:p>
    <w:p>
      <w:pPr>
        <w:widowControl/>
        <w:spacing w:after="180" w:line="600" w:lineRule="atLeast"/>
        <w:jc w:val="center"/>
        <w:rPr>
          <w:rFonts w:hint="eastAsia" w:ascii="微软雅黑" w:hAnsi="微软雅黑" w:eastAsia="微软雅黑" w:cs="宋体"/>
          <w:color w:val="FF0000"/>
          <w:kern w:val="0"/>
          <w:sz w:val="24"/>
          <w:szCs w:val="24"/>
          <w:highlight w:val="none"/>
        </w:rPr>
      </w:pPr>
      <w:r>
        <w:drawing>
          <wp:inline distT="0" distB="0" distL="114300" distR="114300">
            <wp:extent cx="5513705" cy="3999865"/>
            <wp:effectExtent l="4445" t="4445" r="6350" b="1524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napToGrid w:val="0"/>
        <w:spacing w:before="0" w:after="0" w:line="600" w:lineRule="exact"/>
        <w:ind w:firstLine="646"/>
        <w:jc w:val="both"/>
        <w:rPr>
          <w:rFonts w:hint="eastAsia" w:ascii="仿宋" w:hAnsi="仿宋" w:eastAsia="仿宋"/>
          <w:color w:val="auto"/>
          <w:kern w:val="0"/>
          <w:sz w:val="32"/>
          <w:szCs w:val="32"/>
        </w:rPr>
      </w:pPr>
      <w:r>
        <w:rPr>
          <w:rFonts w:hint="eastAsia" w:ascii="仿宋" w:hAnsi="仿宋" w:eastAsia="仿宋"/>
          <w:color w:val="auto"/>
          <w:kern w:val="0"/>
          <w:sz w:val="32"/>
          <w:szCs w:val="32"/>
        </w:rPr>
        <w:t>新产业新业态新模式逆势成长。</w:t>
      </w:r>
      <w:r>
        <w:rPr>
          <w:rFonts w:hint="eastAsia" w:ascii="仿宋" w:hAnsi="仿宋" w:eastAsia="仿宋"/>
          <w:color w:val="auto"/>
          <w:kern w:val="0"/>
          <w:sz w:val="32"/>
          <w:szCs w:val="32"/>
          <w:lang w:val="en-US" w:eastAsia="zh-CN"/>
        </w:rPr>
        <w:t>直管区全年</w:t>
      </w:r>
      <w:r>
        <w:rPr>
          <w:rFonts w:hint="eastAsia" w:ascii="仿宋" w:hAnsi="仿宋" w:eastAsia="仿宋"/>
          <w:color w:val="auto"/>
          <w:kern w:val="0"/>
          <w:sz w:val="32"/>
          <w:szCs w:val="32"/>
        </w:rPr>
        <w:t>规模以上工业战略性新兴制造业产值比上年增长7.6%</w:t>
      </w:r>
      <w:r>
        <w:rPr>
          <w:rFonts w:hint="eastAsia" w:ascii="仿宋" w:hAnsi="仿宋" w:eastAsia="仿宋"/>
          <w:color w:val="auto"/>
          <w:kern w:val="0"/>
          <w:sz w:val="32"/>
          <w:szCs w:val="32"/>
          <w:lang w:eastAsia="zh-CN"/>
        </w:rPr>
        <w:t>，</w:t>
      </w:r>
      <w:r>
        <w:rPr>
          <w:rFonts w:hint="eastAsia" w:ascii="仿宋" w:hAnsi="仿宋" w:eastAsia="仿宋"/>
          <w:color w:val="auto"/>
          <w:kern w:val="0"/>
          <w:sz w:val="32"/>
          <w:szCs w:val="32"/>
        </w:rPr>
        <w:t>占规模以上工业产值的比重59.9%。高端装备制造业、新能源汽车、节能环保产业、新材料产业、生物医药产业分别增长12.3%、331%、0.8%、4.0%和1.4%。</w:t>
      </w:r>
      <w:r>
        <w:rPr>
          <w:rFonts w:ascii="仿宋" w:hAnsi="仿宋" w:eastAsia="仿宋"/>
          <w:color w:val="auto"/>
          <w:kern w:val="0"/>
          <w:sz w:val="32"/>
          <w:szCs w:val="32"/>
          <w:highlight w:val="none"/>
        </w:rPr>
        <w:t>全年高技术制造业</w:t>
      </w:r>
      <w:r>
        <w:rPr>
          <w:rFonts w:ascii="仿宋" w:hAnsi="仿宋" w:eastAsia="仿宋"/>
          <w:color w:val="auto"/>
          <w:kern w:val="0"/>
          <w:sz w:val="32"/>
          <w:szCs w:val="32"/>
        </w:rPr>
        <w:t>投资比上年</w:t>
      </w:r>
      <w:r>
        <w:rPr>
          <w:rFonts w:hint="eastAsia" w:ascii="仿宋" w:hAnsi="仿宋" w:eastAsia="仿宋"/>
          <w:color w:val="auto"/>
          <w:kern w:val="0"/>
          <w:sz w:val="32"/>
          <w:szCs w:val="32"/>
          <w:lang w:eastAsia="zh-CN"/>
        </w:rPr>
        <w:t>下降</w:t>
      </w:r>
      <w:r>
        <w:rPr>
          <w:rFonts w:hint="eastAsia" w:ascii="仿宋" w:hAnsi="仿宋" w:eastAsia="仿宋"/>
          <w:color w:val="auto"/>
          <w:kern w:val="0"/>
          <w:sz w:val="32"/>
          <w:szCs w:val="32"/>
          <w:lang w:val="en-US" w:eastAsia="zh-CN"/>
        </w:rPr>
        <w:t>0.5</w:t>
      </w:r>
      <w:r>
        <w:rPr>
          <w:rFonts w:ascii="仿宋" w:hAnsi="仿宋" w:eastAsia="仿宋"/>
          <w:color w:val="auto"/>
          <w:kern w:val="0"/>
          <w:sz w:val="32"/>
          <w:szCs w:val="32"/>
        </w:rPr>
        <w:t>%，占工业投资的比重为6</w:t>
      </w:r>
      <w:r>
        <w:rPr>
          <w:rFonts w:hint="eastAsia" w:ascii="仿宋" w:hAnsi="仿宋" w:eastAsia="仿宋"/>
          <w:color w:val="auto"/>
          <w:kern w:val="0"/>
          <w:sz w:val="32"/>
          <w:szCs w:val="32"/>
          <w:lang w:val="en-US" w:eastAsia="zh-CN"/>
        </w:rPr>
        <w:t>5.7</w:t>
      </w:r>
      <w:r>
        <w:rPr>
          <w:rFonts w:ascii="仿宋" w:hAnsi="仿宋" w:eastAsia="仿宋"/>
          <w:color w:val="auto"/>
          <w:kern w:val="0"/>
          <w:sz w:val="32"/>
          <w:szCs w:val="32"/>
        </w:rPr>
        <w:t>%。</w:t>
      </w:r>
      <w:r>
        <w:rPr>
          <w:rFonts w:hint="eastAsia" w:ascii="仿宋" w:hAnsi="仿宋" w:eastAsia="仿宋"/>
          <w:color w:val="auto"/>
          <w:kern w:val="0"/>
          <w:sz w:val="32"/>
          <w:szCs w:val="32"/>
        </w:rPr>
        <w:t>限额以上批发和零售企业实现网上商品零售额比上年增长16.8%，高于社会消费品零售总额增速15.9个百分点</w:t>
      </w:r>
      <w:r>
        <w:rPr>
          <w:rFonts w:hint="eastAsia" w:ascii="仿宋" w:hAnsi="仿宋" w:eastAsia="仿宋"/>
          <w:color w:val="auto"/>
          <w:kern w:val="0"/>
          <w:sz w:val="32"/>
          <w:szCs w:val="32"/>
          <w:lang w:eastAsia="zh-CN"/>
        </w:rPr>
        <w:t>。</w:t>
      </w:r>
      <w:r>
        <w:rPr>
          <w:rFonts w:hint="eastAsia" w:ascii="仿宋" w:hAnsi="仿宋" w:eastAsia="仿宋"/>
          <w:color w:val="auto"/>
          <w:kern w:val="0"/>
          <w:sz w:val="32"/>
          <w:szCs w:val="32"/>
        </w:rPr>
        <w:t>新增市场主体</w:t>
      </w:r>
      <w:r>
        <w:rPr>
          <w:rFonts w:hint="eastAsia" w:ascii="仿宋" w:hAnsi="仿宋" w:eastAsia="仿宋"/>
          <w:color w:val="auto"/>
          <w:kern w:val="0"/>
          <w:sz w:val="32"/>
          <w:szCs w:val="32"/>
          <w:lang w:val="en-US" w:eastAsia="zh-CN"/>
        </w:rPr>
        <w:t>2.39</w:t>
      </w:r>
      <w:r>
        <w:rPr>
          <w:rFonts w:hint="eastAsia" w:ascii="仿宋" w:hAnsi="仿宋" w:eastAsia="仿宋"/>
          <w:color w:val="auto"/>
          <w:kern w:val="0"/>
          <w:sz w:val="32"/>
          <w:szCs w:val="32"/>
        </w:rPr>
        <w:t>万户，年末市场主体总数</w:t>
      </w:r>
      <w:r>
        <w:rPr>
          <w:rFonts w:hint="eastAsia" w:ascii="仿宋" w:hAnsi="仿宋" w:eastAsia="仿宋"/>
          <w:color w:val="auto"/>
          <w:kern w:val="0"/>
          <w:sz w:val="32"/>
          <w:szCs w:val="32"/>
          <w:lang w:val="en-US" w:eastAsia="zh-CN"/>
        </w:rPr>
        <w:t>13.09</w:t>
      </w:r>
      <w:r>
        <w:rPr>
          <w:rFonts w:hint="eastAsia" w:ascii="仿宋" w:hAnsi="仿宋" w:eastAsia="仿宋"/>
          <w:color w:val="auto"/>
          <w:kern w:val="0"/>
          <w:sz w:val="32"/>
          <w:szCs w:val="32"/>
        </w:rPr>
        <w:t>万户。</w:t>
      </w:r>
    </w:p>
    <w:p>
      <w:pPr>
        <w:snapToGrid w:val="0"/>
        <w:spacing w:before="0" w:after="0" w:line="600" w:lineRule="exact"/>
        <w:ind w:firstLine="646"/>
        <w:jc w:val="both"/>
        <w:rPr>
          <w:rFonts w:ascii="仿宋" w:hAnsi="仿宋" w:eastAsia="仿宋"/>
          <w:color w:val="FF0000"/>
          <w:kern w:val="0"/>
          <w:sz w:val="32"/>
          <w:szCs w:val="32"/>
          <w:highlight w:val="none"/>
        </w:rPr>
      </w:pPr>
      <w:r>
        <w:rPr>
          <w:rFonts w:hint="eastAsia" w:ascii="仿宋" w:hAnsi="仿宋" w:eastAsia="仿宋"/>
          <w:color w:val="auto"/>
          <w:kern w:val="0"/>
          <w:sz w:val="32"/>
          <w:szCs w:val="32"/>
        </w:rPr>
        <w:t>坚持区域协同联动，成渝双城经济圈合作走深走实</w:t>
      </w:r>
      <w:r>
        <w:rPr>
          <w:rFonts w:hint="eastAsia" w:ascii="仿宋" w:hAnsi="仿宋" w:eastAsia="仿宋"/>
          <w:color w:val="auto"/>
          <w:kern w:val="0"/>
          <w:sz w:val="32"/>
          <w:szCs w:val="32"/>
          <w:lang w:eastAsia="zh-CN"/>
        </w:rPr>
        <w:t>。一是持续深化成渝合作。召开党政联席会议审议并通过两江新区—天府新区深化合作十大重点任务。做深做实八大产业联盟，赛力斯汽</w:t>
      </w:r>
      <w:r>
        <w:rPr>
          <w:rFonts w:hint="eastAsia" w:ascii="仿宋" w:hAnsi="仿宋" w:eastAsia="仿宋"/>
          <w:color w:val="auto"/>
          <w:kern w:val="0"/>
          <w:sz w:val="32"/>
          <w:szCs w:val="32"/>
          <w:highlight w:val="none"/>
          <w:lang w:eastAsia="zh-CN"/>
        </w:rPr>
        <w:t>车在成都软件园成功布局了软件中心，至信实业、鞍钢蒂森克虏伯、延锋汽车与成都经开区汽车企业大众、沃尔沃、吉利汽车开展供应链合作，共同壮大产业集群；京东方重庆公司分别在重庆与成都启动了智慧系统创新中心项目；江北嘴基金公司和成都天创投联合设立协同创新发展基金，实缴资金1亿元。推动与天府国际技术转移中心、国家技术转移东部中心沪渝协同创新中心达成三方合作，实现重庆、上海、四川等地科技创新资源建立链接。二是强化对口协同。召开新区万州对口协同发展2022年度联席会议2次，签订年度</w:t>
      </w:r>
      <w:bookmarkStart w:id="0" w:name="_GoBack"/>
      <w:bookmarkEnd w:id="0"/>
      <w:r>
        <w:rPr>
          <w:rFonts w:hint="eastAsia" w:ascii="仿宋" w:hAnsi="仿宋" w:eastAsia="仿宋"/>
          <w:color w:val="auto"/>
          <w:kern w:val="0"/>
          <w:sz w:val="32"/>
          <w:szCs w:val="32"/>
          <w:highlight w:val="none"/>
          <w:lang w:eastAsia="zh-CN"/>
        </w:rPr>
        <w:t>协议，组建全市对口协同首支区域性产业投资基金，将出资7000万元撬动形成2亿元基金首期规模；在全市要求上解对口帮扶资金5487万元基础上，拨付1500万元支持万州产业发展；拨付首期资金2000万元帮助万州区会展产业发展；帮助万州完成产品助销4900余万元，提前超额完成全市下达任务。协同推进两江数字经济产业园万州园建设发展，入驻平台类企业3家，引进培育数字经济类企业40余家。</w:t>
      </w:r>
    </w:p>
    <w:p>
      <w:pPr>
        <w:snapToGrid w:val="0"/>
        <w:spacing w:before="0" w:after="0" w:line="600" w:lineRule="exact"/>
        <w:ind w:firstLine="646"/>
        <w:jc w:val="left"/>
        <w:rPr>
          <w:rFonts w:ascii="方正黑体_GBK" w:hAnsi="方正黑体_GBK" w:eastAsia="方正黑体_GBK"/>
          <w:color w:val="auto"/>
          <w:kern w:val="0"/>
          <w:sz w:val="32"/>
          <w:szCs w:val="32"/>
        </w:rPr>
      </w:pPr>
      <w:r>
        <w:rPr>
          <w:rFonts w:ascii="方正黑体_GBK" w:hAnsi="方正黑体_GBK" w:eastAsia="方正黑体_GBK"/>
          <w:color w:val="auto"/>
          <w:kern w:val="0"/>
          <w:sz w:val="32"/>
          <w:szCs w:val="32"/>
        </w:rPr>
        <w:t>二、工业和建筑业</w:t>
      </w:r>
    </w:p>
    <w:p>
      <w:pPr>
        <w:snapToGrid w:val="0"/>
        <w:spacing w:before="0" w:after="0" w:line="600" w:lineRule="exact"/>
        <w:ind w:firstLine="645"/>
        <w:jc w:val="both"/>
        <w:rPr>
          <w:rFonts w:hint="eastAsia" w:ascii="仿宋" w:hAnsi="仿宋" w:eastAsia="仿宋"/>
          <w:color w:val="auto"/>
          <w:kern w:val="0"/>
          <w:sz w:val="32"/>
          <w:szCs w:val="32"/>
          <w:lang w:val="en-US" w:eastAsia="zh-CN"/>
        </w:rPr>
      </w:pPr>
      <w:r>
        <w:rPr>
          <w:rFonts w:hint="eastAsia" w:ascii="仿宋" w:hAnsi="仿宋" w:eastAsia="仿宋"/>
          <w:color w:val="auto"/>
          <w:kern w:val="0"/>
          <w:sz w:val="32"/>
          <w:szCs w:val="32"/>
        </w:rPr>
        <w:t>全年直管区工业增加值962.36亿元，占全域的69.6%，增长4.7%。规模以上工业总产值4354.40亿元，增长5.8%。</w:t>
      </w:r>
    </w:p>
    <w:p>
      <w:pPr>
        <w:snapToGrid w:val="0"/>
        <w:spacing w:before="0" w:after="0" w:line="600" w:lineRule="exact"/>
        <w:ind w:firstLine="645"/>
        <w:jc w:val="both"/>
        <w:rPr>
          <w:rFonts w:hint="eastAsia" w:ascii="仿宋" w:hAnsi="仿宋" w:eastAsia="仿宋"/>
          <w:color w:val="FF0000"/>
          <w:kern w:val="0"/>
          <w:sz w:val="32"/>
          <w:szCs w:val="32"/>
          <w:highlight w:val="none"/>
          <w:lang w:val="en-US" w:eastAsia="zh-CN"/>
        </w:rPr>
      </w:pPr>
      <w:r>
        <w:rPr>
          <w:rFonts w:hint="eastAsia" w:ascii="仿宋" w:hAnsi="仿宋" w:eastAsia="仿宋"/>
          <w:color w:val="auto"/>
          <w:kern w:val="0"/>
          <w:sz w:val="32"/>
          <w:szCs w:val="32"/>
          <w:lang w:val="en-US" w:eastAsia="zh-CN"/>
        </w:rPr>
        <w:t>按轻重工业分：轻工业实现产值131.9亿元，下降1.5%，占全部规模以上工业的3%；重工业4222.49亿元，增长6.1%，占97%。</w:t>
      </w:r>
    </w:p>
    <w:p>
      <w:pPr>
        <w:snapToGrid w:val="0"/>
        <w:spacing w:before="0" w:after="0" w:line="600" w:lineRule="exact"/>
        <w:ind w:firstLine="645"/>
        <w:jc w:val="both"/>
        <w:rPr>
          <w:rFonts w:hint="eastAsia" w:ascii="仿宋" w:hAnsi="仿宋" w:eastAsia="仿宋"/>
          <w:color w:val="auto"/>
          <w:kern w:val="0"/>
          <w:sz w:val="32"/>
          <w:szCs w:val="32"/>
          <w:highlight w:val="none"/>
        </w:rPr>
      </w:pPr>
      <w:r>
        <w:rPr>
          <w:rFonts w:hint="eastAsia" w:ascii="仿宋" w:hAnsi="仿宋" w:eastAsia="仿宋"/>
          <w:color w:val="auto"/>
          <w:kern w:val="0"/>
          <w:sz w:val="32"/>
          <w:szCs w:val="32"/>
          <w:highlight w:val="none"/>
        </w:rPr>
        <w:t>按登记注册类型分：国有企业实现产值15.6亿元，下降1.8%，占全部规模以上工业的0.4%；私营企业982.47亿元，增长13.6%，占22.6%；港澳台商投资企业152.07亿元，增长11.7%，占3.5%；外商投资企业1435.29亿元，增长2.8%，占33</w:t>
      </w:r>
      <w:r>
        <w:rPr>
          <w:rFonts w:hint="eastAsia" w:ascii="仿宋" w:hAnsi="仿宋" w:eastAsia="仿宋"/>
          <w:color w:val="auto"/>
          <w:kern w:val="0"/>
          <w:sz w:val="32"/>
          <w:szCs w:val="32"/>
          <w:highlight w:val="none"/>
          <w:lang w:val="en-US" w:eastAsia="zh-CN"/>
        </w:rPr>
        <w:t>.0</w:t>
      </w:r>
      <w:r>
        <w:rPr>
          <w:rFonts w:hint="eastAsia" w:ascii="仿宋" w:hAnsi="仿宋" w:eastAsia="仿宋"/>
          <w:color w:val="auto"/>
          <w:kern w:val="0"/>
          <w:sz w:val="32"/>
          <w:szCs w:val="32"/>
          <w:highlight w:val="none"/>
        </w:rPr>
        <w:t>%。</w:t>
      </w:r>
    </w:p>
    <w:p>
      <w:pPr>
        <w:snapToGrid w:val="0"/>
        <w:spacing w:before="0" w:after="0" w:line="600" w:lineRule="exact"/>
        <w:ind w:firstLine="645"/>
        <w:jc w:val="both"/>
        <w:rPr>
          <w:rFonts w:hint="eastAsia" w:ascii="仿宋" w:hAnsi="仿宋" w:eastAsia="仿宋"/>
          <w:color w:val="FF0000"/>
          <w:kern w:val="0"/>
          <w:sz w:val="32"/>
          <w:szCs w:val="32"/>
          <w:highlight w:val="none"/>
          <w:lang w:val="en-US" w:eastAsia="zh-CN"/>
        </w:rPr>
      </w:pPr>
      <w:r>
        <w:rPr>
          <w:rFonts w:hint="eastAsia" w:ascii="仿宋" w:hAnsi="仿宋" w:eastAsia="仿宋"/>
          <w:color w:val="auto"/>
          <w:kern w:val="0"/>
          <w:sz w:val="32"/>
          <w:szCs w:val="32"/>
          <w:highlight w:val="none"/>
        </w:rPr>
        <w:t>按产业分：汽车产业实现产值1651.8亿元，增长23.2%，占规模以上工业的37.9%；电子产业2184.16亿元，下降2.7%，占50.2%；装备制造业265.61亿元，下降3%，占6.1%；生物医药80.16亿元，增长0.9%，占比1.8%。</w:t>
      </w:r>
    </w:p>
    <w:p>
      <w:pPr>
        <w:snapToGrid w:val="0"/>
        <w:spacing w:before="0" w:after="0" w:line="600" w:lineRule="atLeast"/>
        <w:jc w:val="center"/>
        <w:rPr>
          <w:rFonts w:ascii="仿宋" w:hAnsi="仿宋" w:eastAsia="仿宋"/>
          <w:color w:val="auto"/>
          <w:kern w:val="0"/>
          <w:sz w:val="32"/>
          <w:szCs w:val="32"/>
          <w:highlight w:val="none"/>
        </w:rPr>
      </w:pPr>
      <w:r>
        <w:rPr>
          <w:rFonts w:ascii="仿宋" w:hAnsi="仿宋" w:eastAsia="仿宋"/>
          <w:color w:val="auto"/>
          <w:kern w:val="0"/>
          <w:sz w:val="32"/>
          <w:szCs w:val="32"/>
          <w:highlight w:val="none"/>
        </w:rPr>
        <w:t>表1  202</w:t>
      </w:r>
      <w:r>
        <w:rPr>
          <w:rFonts w:hint="eastAsia" w:ascii="仿宋" w:hAnsi="仿宋" w:eastAsia="仿宋"/>
          <w:color w:val="auto"/>
          <w:kern w:val="0"/>
          <w:sz w:val="32"/>
          <w:szCs w:val="32"/>
          <w:highlight w:val="none"/>
          <w:lang w:val="en-US" w:eastAsia="zh-CN"/>
        </w:rPr>
        <w:t>2</w:t>
      </w:r>
      <w:r>
        <w:rPr>
          <w:rFonts w:ascii="仿宋" w:hAnsi="仿宋" w:eastAsia="仿宋"/>
          <w:color w:val="auto"/>
          <w:kern w:val="0"/>
          <w:sz w:val="32"/>
          <w:szCs w:val="32"/>
          <w:highlight w:val="none"/>
        </w:rPr>
        <w:t>年</w:t>
      </w:r>
      <w:r>
        <w:rPr>
          <w:rFonts w:hint="eastAsia" w:ascii="仿宋" w:hAnsi="仿宋" w:eastAsia="仿宋"/>
          <w:color w:val="auto"/>
          <w:kern w:val="0"/>
          <w:sz w:val="32"/>
          <w:szCs w:val="32"/>
          <w:highlight w:val="none"/>
          <w:lang w:val="en-US" w:eastAsia="zh-CN"/>
        </w:rPr>
        <w:t>规模以上</w:t>
      </w:r>
      <w:r>
        <w:rPr>
          <w:rFonts w:ascii="仿宋" w:hAnsi="仿宋" w:eastAsia="仿宋"/>
          <w:color w:val="auto"/>
          <w:kern w:val="0"/>
          <w:sz w:val="32"/>
          <w:szCs w:val="32"/>
          <w:highlight w:val="none"/>
        </w:rPr>
        <w:t>工业主要产品产量及其增长速度</w:t>
      </w:r>
    </w:p>
    <w:tbl>
      <w:tblPr>
        <w:tblStyle w:val="5"/>
        <w:tblW w:w="4998" w:type="pct"/>
        <w:jc w:val="center"/>
        <w:tblLayout w:type="autofit"/>
        <w:tblCellMar>
          <w:top w:w="0" w:type="dxa"/>
          <w:left w:w="108" w:type="dxa"/>
          <w:bottom w:w="0" w:type="dxa"/>
          <w:right w:w="108" w:type="dxa"/>
        </w:tblCellMar>
      </w:tblPr>
      <w:tblGrid>
        <w:gridCol w:w="3786"/>
        <w:gridCol w:w="1505"/>
        <w:gridCol w:w="1881"/>
        <w:gridCol w:w="1998"/>
      </w:tblGrid>
      <w:tr>
        <w:tblPrEx>
          <w:tblCellMar>
            <w:top w:w="0" w:type="dxa"/>
            <w:left w:w="108" w:type="dxa"/>
            <w:bottom w:w="0" w:type="dxa"/>
            <w:right w:w="108" w:type="dxa"/>
          </w:tblCellMar>
        </w:tblPrEx>
        <w:trPr>
          <w:trHeight w:val="510" w:hRule="atLeast"/>
          <w:tblHeader/>
          <w:jc w:val="center"/>
        </w:trPr>
        <w:tc>
          <w:tcPr>
            <w:tcW w:w="206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指标名称</w:t>
            </w:r>
          </w:p>
        </w:tc>
        <w:tc>
          <w:tcPr>
            <w:tcW w:w="820"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单位</w:t>
            </w:r>
          </w:p>
        </w:tc>
        <w:tc>
          <w:tcPr>
            <w:tcW w:w="1025"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产量</w:t>
            </w:r>
          </w:p>
        </w:tc>
        <w:tc>
          <w:tcPr>
            <w:tcW w:w="108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比上年增长（%）</w:t>
            </w:r>
          </w:p>
        </w:tc>
      </w:tr>
      <w:tr>
        <w:tblPrEx>
          <w:tblCellMar>
            <w:top w:w="0" w:type="dxa"/>
            <w:left w:w="108" w:type="dxa"/>
            <w:bottom w:w="0" w:type="dxa"/>
            <w:right w:w="108" w:type="dxa"/>
          </w:tblCellMar>
        </w:tblPrEx>
        <w:trPr>
          <w:trHeight w:val="510" w:hRule="atLeast"/>
          <w:jc w:val="center"/>
        </w:trPr>
        <w:tc>
          <w:tcPr>
            <w:tcW w:w="2064" w:type="pc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汽车</w:t>
            </w:r>
          </w:p>
        </w:tc>
        <w:tc>
          <w:tcPr>
            <w:tcW w:w="820"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万  辆</w:t>
            </w:r>
          </w:p>
        </w:tc>
        <w:tc>
          <w:tcPr>
            <w:tcW w:w="1025"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94.92 </w:t>
            </w:r>
          </w:p>
        </w:tc>
        <w:tc>
          <w:tcPr>
            <w:tcW w:w="1089"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14.9 </w:t>
            </w:r>
          </w:p>
        </w:tc>
      </w:tr>
      <w:tr>
        <w:tblPrEx>
          <w:tblCellMar>
            <w:top w:w="0" w:type="dxa"/>
            <w:left w:w="108" w:type="dxa"/>
            <w:bottom w:w="0" w:type="dxa"/>
            <w:right w:w="108" w:type="dxa"/>
          </w:tblCellMar>
        </w:tblPrEx>
        <w:trPr>
          <w:trHeight w:val="510" w:hRule="atLeast"/>
          <w:jc w:val="center"/>
        </w:trPr>
        <w:tc>
          <w:tcPr>
            <w:tcW w:w="2064" w:type="pc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  #轿车</w:t>
            </w:r>
          </w:p>
        </w:tc>
        <w:tc>
          <w:tcPr>
            <w:tcW w:w="820"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万  辆</w:t>
            </w:r>
          </w:p>
        </w:tc>
        <w:tc>
          <w:tcPr>
            <w:tcW w:w="1025"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29.33 </w:t>
            </w:r>
          </w:p>
        </w:tc>
        <w:tc>
          <w:tcPr>
            <w:tcW w:w="1089"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107.6 </w:t>
            </w:r>
          </w:p>
        </w:tc>
      </w:tr>
      <w:tr>
        <w:tblPrEx>
          <w:tblCellMar>
            <w:top w:w="0" w:type="dxa"/>
            <w:left w:w="108" w:type="dxa"/>
            <w:bottom w:w="0" w:type="dxa"/>
            <w:right w:w="108" w:type="dxa"/>
          </w:tblCellMar>
        </w:tblPrEx>
        <w:trPr>
          <w:trHeight w:val="510" w:hRule="atLeast"/>
          <w:jc w:val="center"/>
        </w:trPr>
        <w:tc>
          <w:tcPr>
            <w:tcW w:w="2064" w:type="pc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   运动型多用途乘用车（SUV）</w:t>
            </w:r>
          </w:p>
        </w:tc>
        <w:tc>
          <w:tcPr>
            <w:tcW w:w="820"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万  辆</w:t>
            </w:r>
          </w:p>
        </w:tc>
        <w:tc>
          <w:tcPr>
            <w:tcW w:w="1025"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57.66 </w:t>
            </w:r>
          </w:p>
        </w:tc>
        <w:tc>
          <w:tcPr>
            <w:tcW w:w="1089"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-4.6 </w:t>
            </w:r>
          </w:p>
        </w:tc>
      </w:tr>
      <w:tr>
        <w:tblPrEx>
          <w:tblCellMar>
            <w:top w:w="0" w:type="dxa"/>
            <w:left w:w="108" w:type="dxa"/>
            <w:bottom w:w="0" w:type="dxa"/>
            <w:right w:w="108" w:type="dxa"/>
          </w:tblCellMar>
        </w:tblPrEx>
        <w:trPr>
          <w:trHeight w:val="510" w:hRule="atLeast"/>
          <w:jc w:val="center"/>
        </w:trPr>
        <w:tc>
          <w:tcPr>
            <w:tcW w:w="2064" w:type="pc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   新能源汽车</w:t>
            </w:r>
          </w:p>
        </w:tc>
        <w:tc>
          <w:tcPr>
            <w:tcW w:w="820"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辆</w:t>
            </w:r>
          </w:p>
        </w:tc>
        <w:tc>
          <w:tcPr>
            <w:tcW w:w="1025"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215882.00 </w:t>
            </w:r>
          </w:p>
        </w:tc>
        <w:tc>
          <w:tcPr>
            <w:tcW w:w="1089"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282.5 </w:t>
            </w:r>
          </w:p>
        </w:tc>
      </w:tr>
      <w:tr>
        <w:tblPrEx>
          <w:tblCellMar>
            <w:top w:w="0" w:type="dxa"/>
            <w:left w:w="108" w:type="dxa"/>
            <w:bottom w:w="0" w:type="dxa"/>
            <w:right w:w="108" w:type="dxa"/>
          </w:tblCellMar>
        </w:tblPrEx>
        <w:trPr>
          <w:trHeight w:val="510" w:hRule="atLeast"/>
          <w:jc w:val="center"/>
        </w:trPr>
        <w:tc>
          <w:tcPr>
            <w:tcW w:w="2064" w:type="pc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微型计算机</w:t>
            </w:r>
          </w:p>
        </w:tc>
        <w:tc>
          <w:tcPr>
            <w:tcW w:w="820"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万台</w:t>
            </w:r>
          </w:p>
        </w:tc>
        <w:tc>
          <w:tcPr>
            <w:tcW w:w="1025"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3015.14 </w:t>
            </w:r>
          </w:p>
        </w:tc>
        <w:tc>
          <w:tcPr>
            <w:tcW w:w="1089"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-1.9 </w:t>
            </w:r>
          </w:p>
        </w:tc>
      </w:tr>
      <w:tr>
        <w:tblPrEx>
          <w:tblCellMar>
            <w:top w:w="0" w:type="dxa"/>
            <w:left w:w="108" w:type="dxa"/>
            <w:bottom w:w="0" w:type="dxa"/>
            <w:right w:w="108" w:type="dxa"/>
          </w:tblCellMar>
        </w:tblPrEx>
        <w:trPr>
          <w:trHeight w:val="510" w:hRule="atLeast"/>
          <w:jc w:val="center"/>
        </w:trPr>
        <w:tc>
          <w:tcPr>
            <w:tcW w:w="2064" w:type="pc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手机</w:t>
            </w:r>
          </w:p>
        </w:tc>
        <w:tc>
          <w:tcPr>
            <w:tcW w:w="820"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万台</w:t>
            </w:r>
          </w:p>
        </w:tc>
        <w:tc>
          <w:tcPr>
            <w:tcW w:w="1025"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5170.62 </w:t>
            </w:r>
          </w:p>
        </w:tc>
        <w:tc>
          <w:tcPr>
            <w:tcW w:w="1089"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-35.8 </w:t>
            </w:r>
          </w:p>
        </w:tc>
      </w:tr>
      <w:tr>
        <w:tblPrEx>
          <w:tblCellMar>
            <w:top w:w="0" w:type="dxa"/>
            <w:left w:w="108" w:type="dxa"/>
            <w:bottom w:w="0" w:type="dxa"/>
            <w:right w:w="108" w:type="dxa"/>
          </w:tblCellMar>
        </w:tblPrEx>
        <w:trPr>
          <w:trHeight w:val="510" w:hRule="atLeast"/>
          <w:jc w:val="center"/>
        </w:trPr>
        <w:tc>
          <w:tcPr>
            <w:tcW w:w="2064" w:type="pc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液晶显示屏</w:t>
            </w:r>
          </w:p>
        </w:tc>
        <w:tc>
          <w:tcPr>
            <w:tcW w:w="820"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万片</w:t>
            </w:r>
          </w:p>
        </w:tc>
        <w:tc>
          <w:tcPr>
            <w:tcW w:w="1025"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22417.66 </w:t>
            </w:r>
          </w:p>
        </w:tc>
        <w:tc>
          <w:tcPr>
            <w:tcW w:w="1089"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-28.5 </w:t>
            </w:r>
          </w:p>
        </w:tc>
      </w:tr>
      <w:tr>
        <w:tblPrEx>
          <w:tblCellMar>
            <w:top w:w="0" w:type="dxa"/>
            <w:left w:w="108" w:type="dxa"/>
            <w:bottom w:w="0" w:type="dxa"/>
            <w:right w:w="108" w:type="dxa"/>
          </w:tblCellMar>
        </w:tblPrEx>
        <w:trPr>
          <w:trHeight w:val="510" w:hRule="atLeast"/>
          <w:jc w:val="center"/>
        </w:trPr>
        <w:tc>
          <w:tcPr>
            <w:tcW w:w="2064" w:type="pc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工业机器人</w:t>
            </w:r>
          </w:p>
        </w:tc>
        <w:tc>
          <w:tcPr>
            <w:tcW w:w="820"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1025"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2875.00 </w:t>
            </w:r>
          </w:p>
        </w:tc>
        <w:tc>
          <w:tcPr>
            <w:tcW w:w="1089"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9.2 </w:t>
            </w:r>
          </w:p>
        </w:tc>
      </w:tr>
      <w:tr>
        <w:tblPrEx>
          <w:tblCellMar>
            <w:top w:w="0" w:type="dxa"/>
            <w:left w:w="108" w:type="dxa"/>
            <w:bottom w:w="0" w:type="dxa"/>
            <w:right w:w="108" w:type="dxa"/>
          </w:tblCellMar>
        </w:tblPrEx>
        <w:trPr>
          <w:trHeight w:val="510" w:hRule="atLeast"/>
          <w:jc w:val="center"/>
        </w:trPr>
        <w:tc>
          <w:tcPr>
            <w:tcW w:w="2064" w:type="pc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摩托车整车</w:t>
            </w:r>
          </w:p>
        </w:tc>
        <w:tc>
          <w:tcPr>
            <w:tcW w:w="820"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万  辆</w:t>
            </w:r>
          </w:p>
        </w:tc>
        <w:tc>
          <w:tcPr>
            <w:tcW w:w="1025"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w:t>
            </w:r>
          </w:p>
        </w:tc>
        <w:tc>
          <w:tcPr>
            <w:tcW w:w="1089"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w:t>
            </w:r>
          </w:p>
        </w:tc>
      </w:tr>
      <w:tr>
        <w:tblPrEx>
          <w:tblCellMar>
            <w:top w:w="0" w:type="dxa"/>
            <w:left w:w="108" w:type="dxa"/>
            <w:bottom w:w="0" w:type="dxa"/>
            <w:right w:w="108" w:type="dxa"/>
          </w:tblCellMar>
        </w:tblPrEx>
        <w:trPr>
          <w:trHeight w:val="510" w:hRule="atLeast"/>
          <w:jc w:val="center"/>
        </w:trPr>
        <w:tc>
          <w:tcPr>
            <w:tcW w:w="2064" w:type="pc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发动机</w:t>
            </w:r>
          </w:p>
        </w:tc>
        <w:tc>
          <w:tcPr>
            <w:tcW w:w="820"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亿千瓦</w:t>
            </w:r>
          </w:p>
        </w:tc>
        <w:tc>
          <w:tcPr>
            <w:tcW w:w="1025"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1.55 </w:t>
            </w:r>
          </w:p>
        </w:tc>
        <w:tc>
          <w:tcPr>
            <w:tcW w:w="1089"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-5.5 </w:t>
            </w:r>
          </w:p>
        </w:tc>
      </w:tr>
      <w:tr>
        <w:tblPrEx>
          <w:tblCellMar>
            <w:top w:w="0" w:type="dxa"/>
            <w:left w:w="108" w:type="dxa"/>
            <w:bottom w:w="0" w:type="dxa"/>
            <w:right w:w="108" w:type="dxa"/>
          </w:tblCellMar>
        </w:tblPrEx>
        <w:trPr>
          <w:trHeight w:val="510" w:hRule="atLeast"/>
          <w:jc w:val="center"/>
        </w:trPr>
        <w:tc>
          <w:tcPr>
            <w:tcW w:w="2064" w:type="pc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  #汽车发动机</w:t>
            </w:r>
          </w:p>
        </w:tc>
        <w:tc>
          <w:tcPr>
            <w:tcW w:w="820"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亿千瓦</w:t>
            </w:r>
          </w:p>
        </w:tc>
        <w:tc>
          <w:tcPr>
            <w:tcW w:w="1025"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1.48 </w:t>
            </w:r>
          </w:p>
        </w:tc>
        <w:tc>
          <w:tcPr>
            <w:tcW w:w="1089"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-4.5 </w:t>
            </w:r>
          </w:p>
        </w:tc>
      </w:tr>
      <w:tr>
        <w:tblPrEx>
          <w:tblCellMar>
            <w:top w:w="0" w:type="dxa"/>
            <w:left w:w="108" w:type="dxa"/>
            <w:bottom w:w="0" w:type="dxa"/>
            <w:right w:w="108" w:type="dxa"/>
          </w:tblCellMar>
        </w:tblPrEx>
        <w:trPr>
          <w:trHeight w:val="510" w:hRule="atLeast"/>
          <w:jc w:val="center"/>
        </w:trPr>
        <w:tc>
          <w:tcPr>
            <w:tcW w:w="2064" w:type="pc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橡胶轮胎外胎</w:t>
            </w:r>
          </w:p>
        </w:tc>
        <w:tc>
          <w:tcPr>
            <w:tcW w:w="820"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万条</w:t>
            </w:r>
          </w:p>
        </w:tc>
        <w:tc>
          <w:tcPr>
            <w:tcW w:w="1025"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493.25 </w:t>
            </w:r>
          </w:p>
        </w:tc>
        <w:tc>
          <w:tcPr>
            <w:tcW w:w="1089"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-4.5 </w:t>
            </w:r>
          </w:p>
        </w:tc>
      </w:tr>
      <w:tr>
        <w:tblPrEx>
          <w:tblCellMar>
            <w:top w:w="0" w:type="dxa"/>
            <w:left w:w="108" w:type="dxa"/>
            <w:bottom w:w="0" w:type="dxa"/>
            <w:right w:w="108" w:type="dxa"/>
          </w:tblCellMar>
        </w:tblPrEx>
        <w:trPr>
          <w:trHeight w:val="510" w:hRule="atLeast"/>
          <w:jc w:val="center"/>
        </w:trPr>
        <w:tc>
          <w:tcPr>
            <w:tcW w:w="2064" w:type="pc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家用电冰箱</w:t>
            </w:r>
          </w:p>
        </w:tc>
        <w:tc>
          <w:tcPr>
            <w:tcW w:w="820"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万  台</w:t>
            </w:r>
          </w:p>
        </w:tc>
        <w:tc>
          <w:tcPr>
            <w:tcW w:w="1025"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w:t>
            </w:r>
          </w:p>
        </w:tc>
        <w:tc>
          <w:tcPr>
            <w:tcW w:w="1089"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w:t>
            </w:r>
          </w:p>
        </w:tc>
      </w:tr>
      <w:tr>
        <w:tblPrEx>
          <w:tblCellMar>
            <w:top w:w="0" w:type="dxa"/>
            <w:left w:w="108" w:type="dxa"/>
            <w:bottom w:w="0" w:type="dxa"/>
            <w:right w:w="108" w:type="dxa"/>
          </w:tblCellMar>
        </w:tblPrEx>
        <w:trPr>
          <w:trHeight w:val="510" w:hRule="atLeast"/>
          <w:jc w:val="center"/>
        </w:trPr>
        <w:tc>
          <w:tcPr>
            <w:tcW w:w="2064" w:type="pc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房间空气调节器</w:t>
            </w:r>
          </w:p>
        </w:tc>
        <w:tc>
          <w:tcPr>
            <w:tcW w:w="820"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万  台</w:t>
            </w:r>
          </w:p>
        </w:tc>
        <w:tc>
          <w:tcPr>
            <w:tcW w:w="1025"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w:t>
            </w:r>
          </w:p>
        </w:tc>
        <w:tc>
          <w:tcPr>
            <w:tcW w:w="1089"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w:t>
            </w:r>
          </w:p>
        </w:tc>
      </w:tr>
      <w:tr>
        <w:tblPrEx>
          <w:tblCellMar>
            <w:top w:w="0" w:type="dxa"/>
            <w:left w:w="108" w:type="dxa"/>
            <w:bottom w:w="0" w:type="dxa"/>
            <w:right w:w="108" w:type="dxa"/>
          </w:tblCellMar>
        </w:tblPrEx>
        <w:trPr>
          <w:trHeight w:val="510" w:hRule="atLeast"/>
          <w:jc w:val="center"/>
        </w:trPr>
        <w:tc>
          <w:tcPr>
            <w:tcW w:w="2064" w:type="pc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家用洗衣机</w:t>
            </w:r>
          </w:p>
        </w:tc>
        <w:tc>
          <w:tcPr>
            <w:tcW w:w="820"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万  台</w:t>
            </w:r>
          </w:p>
        </w:tc>
        <w:tc>
          <w:tcPr>
            <w:tcW w:w="1025"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w:t>
            </w:r>
          </w:p>
        </w:tc>
        <w:tc>
          <w:tcPr>
            <w:tcW w:w="1089"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w:t>
            </w:r>
          </w:p>
        </w:tc>
      </w:tr>
      <w:tr>
        <w:tblPrEx>
          <w:tblCellMar>
            <w:top w:w="0" w:type="dxa"/>
            <w:left w:w="108" w:type="dxa"/>
            <w:bottom w:w="0" w:type="dxa"/>
            <w:right w:w="108" w:type="dxa"/>
          </w:tblCellMar>
        </w:tblPrEx>
        <w:trPr>
          <w:trHeight w:val="510" w:hRule="atLeast"/>
          <w:jc w:val="center"/>
        </w:trPr>
        <w:tc>
          <w:tcPr>
            <w:tcW w:w="2064" w:type="pc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家用燃气热水器</w:t>
            </w:r>
          </w:p>
        </w:tc>
        <w:tc>
          <w:tcPr>
            <w:tcW w:w="820"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万  台</w:t>
            </w:r>
          </w:p>
        </w:tc>
        <w:tc>
          <w:tcPr>
            <w:tcW w:w="1025"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w:t>
            </w:r>
          </w:p>
        </w:tc>
        <w:tc>
          <w:tcPr>
            <w:tcW w:w="1089"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w:t>
            </w:r>
          </w:p>
        </w:tc>
      </w:tr>
      <w:tr>
        <w:tblPrEx>
          <w:tblCellMar>
            <w:top w:w="0" w:type="dxa"/>
            <w:left w:w="108" w:type="dxa"/>
            <w:bottom w:w="0" w:type="dxa"/>
            <w:right w:w="108" w:type="dxa"/>
          </w:tblCellMar>
        </w:tblPrEx>
        <w:trPr>
          <w:trHeight w:val="510" w:hRule="atLeast"/>
          <w:jc w:val="center"/>
        </w:trPr>
        <w:tc>
          <w:tcPr>
            <w:tcW w:w="2064" w:type="pc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化学药品原药</w:t>
            </w:r>
          </w:p>
        </w:tc>
        <w:tc>
          <w:tcPr>
            <w:tcW w:w="820"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吨</w:t>
            </w:r>
          </w:p>
        </w:tc>
        <w:tc>
          <w:tcPr>
            <w:tcW w:w="1025"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779.08 </w:t>
            </w:r>
          </w:p>
        </w:tc>
        <w:tc>
          <w:tcPr>
            <w:tcW w:w="1089"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52.8 </w:t>
            </w:r>
          </w:p>
        </w:tc>
      </w:tr>
      <w:tr>
        <w:tblPrEx>
          <w:tblCellMar>
            <w:top w:w="0" w:type="dxa"/>
            <w:left w:w="108" w:type="dxa"/>
            <w:bottom w:w="0" w:type="dxa"/>
            <w:right w:w="108" w:type="dxa"/>
          </w:tblCellMar>
        </w:tblPrEx>
        <w:trPr>
          <w:trHeight w:val="510" w:hRule="atLeast"/>
          <w:jc w:val="center"/>
        </w:trPr>
        <w:tc>
          <w:tcPr>
            <w:tcW w:w="2064" w:type="pc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啤  酒</w:t>
            </w:r>
          </w:p>
        </w:tc>
        <w:tc>
          <w:tcPr>
            <w:tcW w:w="820"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万千升</w:t>
            </w:r>
          </w:p>
        </w:tc>
        <w:tc>
          <w:tcPr>
            <w:tcW w:w="1025"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29.56 </w:t>
            </w:r>
          </w:p>
        </w:tc>
        <w:tc>
          <w:tcPr>
            <w:tcW w:w="1089"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-2.2 </w:t>
            </w:r>
          </w:p>
        </w:tc>
      </w:tr>
      <w:tr>
        <w:tblPrEx>
          <w:tblCellMar>
            <w:top w:w="0" w:type="dxa"/>
            <w:left w:w="108" w:type="dxa"/>
            <w:bottom w:w="0" w:type="dxa"/>
            <w:right w:w="108" w:type="dxa"/>
          </w:tblCellMar>
        </w:tblPrEx>
        <w:trPr>
          <w:trHeight w:val="510" w:hRule="atLeast"/>
          <w:jc w:val="center"/>
        </w:trPr>
        <w:tc>
          <w:tcPr>
            <w:tcW w:w="2064" w:type="pc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工业自动调节仪表与控制系统</w:t>
            </w:r>
          </w:p>
        </w:tc>
        <w:tc>
          <w:tcPr>
            <w:tcW w:w="820"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万台（套）</w:t>
            </w:r>
          </w:p>
        </w:tc>
        <w:tc>
          <w:tcPr>
            <w:tcW w:w="1025"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45.55 </w:t>
            </w:r>
          </w:p>
        </w:tc>
        <w:tc>
          <w:tcPr>
            <w:tcW w:w="1089"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18.8 </w:t>
            </w:r>
          </w:p>
        </w:tc>
      </w:tr>
      <w:tr>
        <w:tblPrEx>
          <w:tblCellMar>
            <w:top w:w="0" w:type="dxa"/>
            <w:left w:w="108" w:type="dxa"/>
            <w:bottom w:w="0" w:type="dxa"/>
            <w:right w:w="108" w:type="dxa"/>
          </w:tblCellMar>
        </w:tblPrEx>
        <w:trPr>
          <w:trHeight w:val="510" w:hRule="atLeast"/>
          <w:jc w:val="center"/>
        </w:trPr>
        <w:tc>
          <w:tcPr>
            <w:tcW w:w="2064" w:type="pc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光学仪器</w:t>
            </w:r>
          </w:p>
        </w:tc>
        <w:tc>
          <w:tcPr>
            <w:tcW w:w="820"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万台（个）</w:t>
            </w:r>
          </w:p>
        </w:tc>
        <w:tc>
          <w:tcPr>
            <w:tcW w:w="1025"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w:t>
            </w:r>
          </w:p>
        </w:tc>
        <w:tc>
          <w:tcPr>
            <w:tcW w:w="1089"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w:t>
            </w:r>
          </w:p>
        </w:tc>
      </w:tr>
      <w:tr>
        <w:tblPrEx>
          <w:tblCellMar>
            <w:top w:w="0" w:type="dxa"/>
            <w:left w:w="108" w:type="dxa"/>
            <w:bottom w:w="0" w:type="dxa"/>
            <w:right w:w="108" w:type="dxa"/>
          </w:tblCellMar>
        </w:tblPrEx>
        <w:trPr>
          <w:trHeight w:val="510" w:hRule="atLeast"/>
          <w:jc w:val="center"/>
        </w:trPr>
        <w:tc>
          <w:tcPr>
            <w:tcW w:w="2064" w:type="pc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光电子器件</w:t>
            </w:r>
          </w:p>
        </w:tc>
        <w:tc>
          <w:tcPr>
            <w:tcW w:w="820"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亿  只</w:t>
            </w:r>
          </w:p>
        </w:tc>
        <w:tc>
          <w:tcPr>
            <w:tcW w:w="1025"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7.14 </w:t>
            </w:r>
          </w:p>
        </w:tc>
        <w:tc>
          <w:tcPr>
            <w:tcW w:w="1089"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-34.4 </w:t>
            </w:r>
          </w:p>
        </w:tc>
      </w:tr>
      <w:tr>
        <w:tblPrEx>
          <w:tblCellMar>
            <w:top w:w="0" w:type="dxa"/>
            <w:left w:w="108" w:type="dxa"/>
            <w:bottom w:w="0" w:type="dxa"/>
            <w:right w:w="108" w:type="dxa"/>
          </w:tblCellMar>
        </w:tblPrEx>
        <w:trPr>
          <w:trHeight w:val="510" w:hRule="atLeast"/>
          <w:jc w:val="center"/>
        </w:trPr>
        <w:tc>
          <w:tcPr>
            <w:tcW w:w="2064" w:type="pc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电子元件</w:t>
            </w:r>
          </w:p>
        </w:tc>
        <w:tc>
          <w:tcPr>
            <w:tcW w:w="820"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亿  只</w:t>
            </w:r>
          </w:p>
        </w:tc>
        <w:tc>
          <w:tcPr>
            <w:tcW w:w="1025"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1.90 </w:t>
            </w:r>
          </w:p>
        </w:tc>
        <w:tc>
          <w:tcPr>
            <w:tcW w:w="1089"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-12.8 </w:t>
            </w:r>
          </w:p>
        </w:tc>
      </w:tr>
      <w:tr>
        <w:tblPrEx>
          <w:tblCellMar>
            <w:top w:w="0" w:type="dxa"/>
            <w:left w:w="108" w:type="dxa"/>
            <w:bottom w:w="0" w:type="dxa"/>
            <w:right w:w="108" w:type="dxa"/>
          </w:tblCellMar>
        </w:tblPrEx>
        <w:trPr>
          <w:trHeight w:val="510" w:hRule="atLeast"/>
          <w:jc w:val="center"/>
        </w:trPr>
        <w:tc>
          <w:tcPr>
            <w:tcW w:w="2064" w:type="pc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商品混凝土</w:t>
            </w:r>
          </w:p>
        </w:tc>
        <w:tc>
          <w:tcPr>
            <w:tcW w:w="820"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万立方米</w:t>
            </w:r>
          </w:p>
        </w:tc>
        <w:tc>
          <w:tcPr>
            <w:tcW w:w="1025"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384.34 </w:t>
            </w:r>
          </w:p>
        </w:tc>
        <w:tc>
          <w:tcPr>
            <w:tcW w:w="1089"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-44.5 </w:t>
            </w:r>
          </w:p>
        </w:tc>
      </w:tr>
      <w:tr>
        <w:tblPrEx>
          <w:tblCellMar>
            <w:top w:w="0" w:type="dxa"/>
            <w:left w:w="108" w:type="dxa"/>
            <w:bottom w:w="0" w:type="dxa"/>
            <w:right w:w="108" w:type="dxa"/>
          </w:tblCellMar>
        </w:tblPrEx>
        <w:trPr>
          <w:trHeight w:val="510" w:hRule="atLeast"/>
          <w:jc w:val="center"/>
        </w:trPr>
        <w:tc>
          <w:tcPr>
            <w:tcW w:w="2064" w:type="pc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服  装</w:t>
            </w:r>
          </w:p>
        </w:tc>
        <w:tc>
          <w:tcPr>
            <w:tcW w:w="820"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万  件</w:t>
            </w:r>
          </w:p>
        </w:tc>
        <w:tc>
          <w:tcPr>
            <w:tcW w:w="1025"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w:t>
            </w:r>
          </w:p>
        </w:tc>
        <w:tc>
          <w:tcPr>
            <w:tcW w:w="1089"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w:t>
            </w:r>
          </w:p>
        </w:tc>
      </w:tr>
      <w:tr>
        <w:tblPrEx>
          <w:tblCellMar>
            <w:top w:w="0" w:type="dxa"/>
            <w:left w:w="108" w:type="dxa"/>
            <w:bottom w:w="0" w:type="dxa"/>
            <w:right w:w="108" w:type="dxa"/>
          </w:tblCellMar>
        </w:tblPrEx>
        <w:trPr>
          <w:trHeight w:val="510" w:hRule="atLeast"/>
          <w:jc w:val="center"/>
        </w:trPr>
        <w:tc>
          <w:tcPr>
            <w:tcW w:w="2064" w:type="pc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软饮料</w:t>
            </w:r>
          </w:p>
        </w:tc>
        <w:tc>
          <w:tcPr>
            <w:tcW w:w="820"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万  吨</w:t>
            </w:r>
          </w:p>
        </w:tc>
        <w:tc>
          <w:tcPr>
            <w:tcW w:w="1025"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21.79 </w:t>
            </w:r>
          </w:p>
        </w:tc>
        <w:tc>
          <w:tcPr>
            <w:tcW w:w="1089"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-12.4 </w:t>
            </w:r>
          </w:p>
        </w:tc>
      </w:tr>
      <w:tr>
        <w:tblPrEx>
          <w:tblCellMar>
            <w:top w:w="0" w:type="dxa"/>
            <w:left w:w="108" w:type="dxa"/>
            <w:bottom w:w="0" w:type="dxa"/>
            <w:right w:w="108" w:type="dxa"/>
          </w:tblCellMar>
        </w:tblPrEx>
        <w:trPr>
          <w:trHeight w:val="510" w:hRule="atLeast"/>
          <w:jc w:val="center"/>
        </w:trPr>
        <w:tc>
          <w:tcPr>
            <w:tcW w:w="2064" w:type="pc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智能手机</w:t>
            </w:r>
          </w:p>
        </w:tc>
        <w:tc>
          <w:tcPr>
            <w:tcW w:w="820"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万台</w:t>
            </w:r>
          </w:p>
        </w:tc>
        <w:tc>
          <w:tcPr>
            <w:tcW w:w="1025"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5000.58 </w:t>
            </w:r>
          </w:p>
        </w:tc>
        <w:tc>
          <w:tcPr>
            <w:tcW w:w="1089"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-16.7 </w:t>
            </w:r>
          </w:p>
        </w:tc>
      </w:tr>
      <w:tr>
        <w:tblPrEx>
          <w:tblCellMar>
            <w:top w:w="0" w:type="dxa"/>
            <w:left w:w="108" w:type="dxa"/>
            <w:bottom w:w="0" w:type="dxa"/>
            <w:right w:w="108" w:type="dxa"/>
          </w:tblCellMar>
        </w:tblPrEx>
        <w:trPr>
          <w:trHeight w:val="510" w:hRule="atLeast"/>
          <w:jc w:val="center"/>
        </w:trPr>
        <w:tc>
          <w:tcPr>
            <w:tcW w:w="2064" w:type="pc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智能手表</w:t>
            </w:r>
          </w:p>
        </w:tc>
        <w:tc>
          <w:tcPr>
            <w:tcW w:w="820"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万台</w:t>
            </w:r>
          </w:p>
        </w:tc>
        <w:tc>
          <w:tcPr>
            <w:tcW w:w="1025"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766.54 </w:t>
            </w:r>
          </w:p>
        </w:tc>
        <w:tc>
          <w:tcPr>
            <w:tcW w:w="1089"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-21.8 </w:t>
            </w:r>
          </w:p>
        </w:tc>
      </w:tr>
      <w:tr>
        <w:tblPrEx>
          <w:tblCellMar>
            <w:top w:w="0" w:type="dxa"/>
            <w:left w:w="108" w:type="dxa"/>
            <w:bottom w:w="0" w:type="dxa"/>
            <w:right w:w="108" w:type="dxa"/>
          </w:tblCellMar>
        </w:tblPrEx>
        <w:trPr>
          <w:trHeight w:val="510" w:hRule="atLeast"/>
          <w:jc w:val="center"/>
        </w:trPr>
        <w:tc>
          <w:tcPr>
            <w:tcW w:w="2064" w:type="pc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工业仪表</w:t>
            </w:r>
          </w:p>
        </w:tc>
        <w:tc>
          <w:tcPr>
            <w:tcW w:w="820"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万台（个）</w:t>
            </w:r>
          </w:p>
        </w:tc>
        <w:tc>
          <w:tcPr>
            <w:tcW w:w="1025"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691.31 </w:t>
            </w:r>
          </w:p>
        </w:tc>
        <w:tc>
          <w:tcPr>
            <w:tcW w:w="1089"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7.2 </w:t>
            </w:r>
          </w:p>
        </w:tc>
      </w:tr>
      <w:tr>
        <w:tblPrEx>
          <w:tblCellMar>
            <w:top w:w="0" w:type="dxa"/>
            <w:left w:w="108" w:type="dxa"/>
            <w:bottom w:w="0" w:type="dxa"/>
            <w:right w:w="108" w:type="dxa"/>
          </w:tblCellMar>
        </w:tblPrEx>
        <w:trPr>
          <w:trHeight w:val="510" w:hRule="atLeast"/>
          <w:jc w:val="center"/>
        </w:trPr>
        <w:tc>
          <w:tcPr>
            <w:tcW w:w="2064" w:type="pc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印制电路板</w:t>
            </w:r>
          </w:p>
        </w:tc>
        <w:tc>
          <w:tcPr>
            <w:tcW w:w="820"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万平方米</w:t>
            </w:r>
          </w:p>
        </w:tc>
        <w:tc>
          <w:tcPr>
            <w:tcW w:w="1025"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25.64 </w:t>
            </w:r>
          </w:p>
        </w:tc>
        <w:tc>
          <w:tcPr>
            <w:tcW w:w="1089"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8.9 </w:t>
            </w:r>
          </w:p>
        </w:tc>
      </w:tr>
      <w:tr>
        <w:tblPrEx>
          <w:tblCellMar>
            <w:top w:w="0" w:type="dxa"/>
            <w:left w:w="108" w:type="dxa"/>
            <w:bottom w:w="0" w:type="dxa"/>
            <w:right w:w="108" w:type="dxa"/>
          </w:tblCellMar>
        </w:tblPrEx>
        <w:trPr>
          <w:trHeight w:val="510" w:hRule="atLeast"/>
          <w:jc w:val="center"/>
        </w:trPr>
        <w:tc>
          <w:tcPr>
            <w:tcW w:w="2064" w:type="pct"/>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集成电路</w:t>
            </w:r>
          </w:p>
        </w:tc>
        <w:tc>
          <w:tcPr>
            <w:tcW w:w="820"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万块</w:t>
            </w:r>
          </w:p>
        </w:tc>
        <w:tc>
          <w:tcPr>
            <w:tcW w:w="1025"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43.97 </w:t>
            </w:r>
          </w:p>
        </w:tc>
        <w:tc>
          <w:tcPr>
            <w:tcW w:w="1089" w:type="pct"/>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-1.0 </w:t>
            </w:r>
          </w:p>
        </w:tc>
      </w:tr>
    </w:tbl>
    <w:p>
      <w:pPr>
        <w:snapToGrid w:val="0"/>
        <w:spacing w:before="0" w:after="0" w:line="600" w:lineRule="exact"/>
        <w:ind w:firstLine="646"/>
        <w:jc w:val="both"/>
        <w:rPr>
          <w:rFonts w:hint="eastAsia" w:ascii="仿宋" w:hAnsi="仿宋" w:eastAsia="仿宋"/>
          <w:color w:val="auto"/>
          <w:kern w:val="0"/>
          <w:sz w:val="32"/>
          <w:szCs w:val="32"/>
          <w:highlight w:val="none"/>
        </w:rPr>
      </w:pPr>
      <w:r>
        <w:rPr>
          <w:rFonts w:hint="eastAsia" w:ascii="仿宋" w:hAnsi="仿宋" w:eastAsia="仿宋"/>
          <w:color w:val="auto"/>
          <w:kern w:val="0"/>
          <w:sz w:val="32"/>
          <w:szCs w:val="32"/>
          <w:highlight w:val="none"/>
        </w:rPr>
        <w:t>全年</w:t>
      </w:r>
      <w:r>
        <w:rPr>
          <w:rFonts w:hint="eastAsia" w:ascii="仿宋" w:hAnsi="仿宋" w:eastAsia="仿宋"/>
          <w:color w:val="auto"/>
          <w:kern w:val="0"/>
          <w:sz w:val="32"/>
          <w:szCs w:val="32"/>
          <w:highlight w:val="none"/>
          <w:lang w:eastAsia="zh-CN"/>
        </w:rPr>
        <w:t>直管区</w:t>
      </w:r>
      <w:r>
        <w:rPr>
          <w:rFonts w:hint="eastAsia" w:ascii="仿宋" w:hAnsi="仿宋" w:eastAsia="仿宋"/>
          <w:color w:val="auto"/>
          <w:kern w:val="0"/>
          <w:sz w:val="32"/>
          <w:szCs w:val="32"/>
          <w:highlight w:val="none"/>
        </w:rPr>
        <w:t>规模以上工业企业358个，增长9.5%，亏损企业106个，占比29.6%。资产增长6.7%，负债增长7.4%，营业收入增长2.6%，营业成本增长6.1%，利税总额下降34.4%，税金总额增长20.9%，用工人数下降9.2%。</w:t>
      </w:r>
    </w:p>
    <w:p>
      <w:pPr>
        <w:snapToGrid w:val="0"/>
        <w:spacing w:before="0" w:after="0" w:line="600" w:lineRule="exact"/>
        <w:ind w:firstLine="646"/>
        <w:jc w:val="both"/>
        <w:rPr>
          <w:rFonts w:hint="eastAsia" w:ascii="仿宋" w:hAnsi="仿宋" w:eastAsia="仿宋"/>
          <w:color w:val="auto"/>
          <w:kern w:val="0"/>
          <w:sz w:val="32"/>
          <w:szCs w:val="32"/>
          <w:highlight w:val="none"/>
          <w:shd w:val="clear" w:fill="FFFFFF"/>
        </w:rPr>
      </w:pPr>
      <w:r>
        <w:rPr>
          <w:rFonts w:hint="eastAsia" w:ascii="仿宋" w:hAnsi="仿宋" w:eastAsia="仿宋"/>
          <w:color w:val="auto"/>
          <w:kern w:val="0"/>
          <w:sz w:val="32"/>
          <w:szCs w:val="32"/>
          <w:highlight w:val="none"/>
          <w:shd w:val="clear" w:fill="FFFFFF"/>
        </w:rPr>
        <w:t>全年直管区建筑业增加值161.72亿元，比上年下降7.0%。直管区入统的具有资质等级的总承包和专业承包建筑企业109家，建筑业总产值576.12亿元，房屋建筑施工面积1384.70万平方米，房屋建筑竣工面积548.16万平方米，竣工房屋价值122.01亿元。</w:t>
      </w:r>
    </w:p>
    <w:p>
      <w:pPr>
        <w:snapToGrid w:val="0"/>
        <w:spacing w:before="0" w:after="0" w:line="600" w:lineRule="exact"/>
        <w:ind w:firstLine="646"/>
        <w:jc w:val="both"/>
        <w:rPr>
          <w:rFonts w:ascii="方正黑体_GBK" w:hAnsi="方正黑体_GBK" w:eastAsia="方正黑体_GBK"/>
          <w:color w:val="auto"/>
          <w:kern w:val="0"/>
          <w:sz w:val="32"/>
          <w:szCs w:val="32"/>
        </w:rPr>
      </w:pPr>
      <w:r>
        <w:rPr>
          <w:rFonts w:ascii="方正黑体_GBK" w:hAnsi="方正黑体_GBK" w:eastAsia="方正黑体_GBK"/>
          <w:color w:val="auto"/>
          <w:kern w:val="0"/>
          <w:sz w:val="32"/>
          <w:szCs w:val="32"/>
        </w:rPr>
        <w:t>三、服务业</w:t>
      </w:r>
    </w:p>
    <w:p>
      <w:pPr>
        <w:snapToGrid w:val="0"/>
        <w:spacing w:before="0" w:after="0" w:line="600" w:lineRule="exact"/>
        <w:ind w:firstLine="645"/>
        <w:jc w:val="both"/>
        <w:rPr>
          <w:rFonts w:hint="eastAsia" w:ascii="仿宋" w:hAnsi="仿宋" w:eastAsia="仿宋"/>
          <w:color w:val="FF0000"/>
          <w:kern w:val="0"/>
          <w:sz w:val="32"/>
          <w:szCs w:val="32"/>
          <w:highlight w:val="none"/>
          <w:lang w:val="en-US" w:eastAsia="zh-CN"/>
        </w:rPr>
      </w:pPr>
      <w:r>
        <w:rPr>
          <w:rFonts w:hint="eastAsia" w:ascii="仿宋" w:hAnsi="仿宋" w:eastAsia="仿宋"/>
          <w:color w:val="auto"/>
          <w:kern w:val="0"/>
          <w:sz w:val="32"/>
          <w:szCs w:val="32"/>
          <w:highlight w:val="none"/>
        </w:rPr>
        <w:t>全年</w:t>
      </w:r>
      <w:r>
        <w:rPr>
          <w:rFonts w:hint="eastAsia" w:ascii="仿宋" w:hAnsi="仿宋" w:eastAsia="仿宋"/>
          <w:color w:val="auto"/>
          <w:kern w:val="0"/>
          <w:sz w:val="32"/>
          <w:szCs w:val="32"/>
          <w:highlight w:val="none"/>
          <w:lang w:eastAsia="zh-CN"/>
        </w:rPr>
        <w:t>直管区</w:t>
      </w:r>
      <w:r>
        <w:rPr>
          <w:rFonts w:hint="eastAsia" w:ascii="仿宋" w:hAnsi="仿宋" w:eastAsia="仿宋"/>
          <w:color w:val="auto"/>
          <w:kern w:val="0"/>
          <w:sz w:val="32"/>
          <w:szCs w:val="32"/>
          <w:highlight w:val="none"/>
        </w:rPr>
        <w:t>批发和零售业增加值87.84亿元，比上年增长6.2%；交通运输、仓储和邮政业增加值92.68亿元，下降4.5%；住宿和餐饮业增加值21.7亿元，下降0.7%；金融业增加值483.17亿元，增长10.7%；房地产业增加值103.53亿元，下降32.4%；其他服务业增加值492.84亿元，增长11.8%。</w:t>
      </w:r>
      <w:r>
        <w:rPr>
          <w:rFonts w:hint="eastAsia" w:ascii="仿宋" w:hAnsi="仿宋" w:eastAsia="仿宋"/>
          <w:color w:val="auto"/>
          <w:kern w:val="0"/>
          <w:sz w:val="32"/>
          <w:szCs w:val="32"/>
          <w:highlight w:val="none"/>
          <w:lang w:val="en-US" w:eastAsia="zh-CN"/>
        </w:rPr>
        <w:t>全年规模以上服务业企业营业收入1538.24亿元，比上年下降4.2%。</w:t>
      </w:r>
    </w:p>
    <w:p>
      <w:pPr>
        <w:snapToGrid w:val="0"/>
        <w:spacing w:before="0" w:after="0" w:line="600" w:lineRule="exact"/>
        <w:ind w:firstLine="645"/>
        <w:jc w:val="both"/>
        <w:rPr>
          <w:rFonts w:hint="eastAsia" w:ascii="仿宋" w:hAnsi="仿宋" w:eastAsia="仿宋"/>
          <w:color w:val="auto"/>
          <w:kern w:val="0"/>
          <w:sz w:val="32"/>
          <w:szCs w:val="32"/>
          <w:highlight w:val="none"/>
          <w:lang w:val="en-US" w:eastAsia="zh-CN"/>
        </w:rPr>
      </w:pPr>
      <w:r>
        <w:rPr>
          <w:rFonts w:hint="eastAsia" w:ascii="仿宋" w:hAnsi="仿宋" w:eastAsia="仿宋"/>
          <w:color w:val="auto"/>
          <w:kern w:val="0"/>
          <w:sz w:val="32"/>
          <w:szCs w:val="32"/>
          <w:highlight w:val="none"/>
          <w:lang w:val="en-US" w:eastAsia="zh-CN"/>
        </w:rPr>
        <w:t>全年机场货物吞吐量41.58万吨，下降13.1%。机场旅客吞吐量2246.09万人次，下降40.0%，港口集装箱吞吐量129.17万标准箱，下降2.9%。</w:t>
      </w:r>
    </w:p>
    <w:p>
      <w:pPr>
        <w:snapToGrid w:val="0"/>
        <w:spacing w:before="0" w:after="0" w:line="600" w:lineRule="exact"/>
        <w:ind w:right="45" w:firstLine="646"/>
        <w:jc w:val="both"/>
        <w:rPr>
          <w:rFonts w:ascii="方正黑体_GBK" w:hAnsi="方正黑体_GBK" w:eastAsia="方正黑体_GBK"/>
          <w:color w:val="auto"/>
          <w:kern w:val="0"/>
          <w:sz w:val="32"/>
          <w:szCs w:val="32"/>
        </w:rPr>
      </w:pPr>
      <w:r>
        <w:rPr>
          <w:rFonts w:ascii="方正黑体_GBK" w:hAnsi="方正黑体_GBK" w:eastAsia="方正黑体_GBK"/>
          <w:color w:val="auto"/>
          <w:kern w:val="0"/>
          <w:sz w:val="32"/>
          <w:szCs w:val="32"/>
        </w:rPr>
        <w:t>四、国内贸易</w:t>
      </w:r>
    </w:p>
    <w:p>
      <w:pPr>
        <w:snapToGrid w:val="0"/>
        <w:spacing w:before="0" w:after="0" w:line="600" w:lineRule="exact"/>
        <w:ind w:firstLine="646"/>
        <w:jc w:val="both"/>
        <w:rPr>
          <w:rFonts w:hint="eastAsia" w:ascii="仿宋" w:hAnsi="仿宋" w:eastAsia="仿宋"/>
          <w:color w:val="auto"/>
          <w:kern w:val="0"/>
          <w:sz w:val="32"/>
          <w:szCs w:val="32"/>
        </w:rPr>
      </w:pPr>
      <w:r>
        <w:rPr>
          <w:rFonts w:hint="eastAsia" w:ascii="仿宋" w:hAnsi="仿宋" w:eastAsia="仿宋"/>
          <w:color w:val="auto"/>
          <w:kern w:val="0"/>
          <w:sz w:val="32"/>
          <w:szCs w:val="32"/>
        </w:rPr>
        <w:t>全年直管区社会消费品零售总额703.39亿元，比上年增长0.9%。商品销售额3572.34亿元，增长16.7%。住宿和餐饮业营业额79.15亿元，与上年持平。</w:t>
      </w:r>
    </w:p>
    <w:p>
      <w:pPr>
        <w:snapToGrid w:val="0"/>
        <w:spacing w:before="0" w:after="0" w:line="600" w:lineRule="exact"/>
        <w:ind w:firstLine="646"/>
        <w:jc w:val="both"/>
        <w:rPr>
          <w:rFonts w:ascii="仿宋" w:hAnsi="仿宋" w:eastAsia="仿宋"/>
          <w:color w:val="FF0000"/>
          <w:kern w:val="0"/>
          <w:sz w:val="32"/>
          <w:szCs w:val="32"/>
        </w:rPr>
      </w:pPr>
      <w:r>
        <w:rPr>
          <w:rFonts w:hint="eastAsia" w:ascii="仿宋" w:hAnsi="仿宋" w:eastAsia="仿宋"/>
          <w:color w:val="auto"/>
          <w:kern w:val="0"/>
          <w:sz w:val="32"/>
          <w:szCs w:val="32"/>
        </w:rPr>
        <w:t>在限额以上法人企业商品零售额中，粮油、食品类比上年增长4.5%，饮料类下降10.8%，烟酒类下降1.5%，服装、鞋帽、针纺织品类下降25.5%，化妆品类增长3.3%，金银珠宝类下降0.1%，日用品类下降49.8%，中西药品类增长28.0%，文化办公用品类增长7.2%，通讯器材类下降4.8%，石油及制品类增长3.5%，汽车类增长3.8%。</w:t>
      </w:r>
    </w:p>
    <w:p>
      <w:pPr>
        <w:snapToGrid w:val="0"/>
        <w:spacing w:before="0" w:after="0" w:line="600" w:lineRule="exact"/>
        <w:ind w:right="45" w:firstLine="646"/>
        <w:jc w:val="both"/>
        <w:rPr>
          <w:rFonts w:ascii="方正黑体_GBK" w:hAnsi="方正黑体_GBK" w:eastAsia="方正黑体_GBK"/>
          <w:color w:val="auto"/>
          <w:kern w:val="0"/>
          <w:sz w:val="32"/>
          <w:szCs w:val="32"/>
        </w:rPr>
      </w:pPr>
      <w:r>
        <w:rPr>
          <w:rFonts w:ascii="方正黑体_GBK" w:hAnsi="方正黑体_GBK" w:eastAsia="方正黑体_GBK"/>
          <w:color w:val="auto"/>
          <w:kern w:val="0"/>
          <w:sz w:val="32"/>
          <w:szCs w:val="32"/>
        </w:rPr>
        <w:t>五、固定资产投资</w:t>
      </w:r>
    </w:p>
    <w:p>
      <w:pPr>
        <w:snapToGrid w:val="0"/>
        <w:spacing w:before="0" w:after="0" w:line="600" w:lineRule="exact"/>
        <w:ind w:firstLine="646"/>
        <w:jc w:val="both"/>
        <w:rPr>
          <w:rFonts w:ascii="宋体" w:hAnsi="宋体" w:eastAsia="宋体"/>
          <w:color w:val="FF0000"/>
          <w:kern w:val="0"/>
          <w:sz w:val="32"/>
          <w:szCs w:val="32"/>
          <w:highlight w:val="none"/>
        </w:rPr>
      </w:pPr>
      <w:r>
        <w:rPr>
          <w:rFonts w:ascii="仿宋" w:hAnsi="仿宋" w:eastAsia="仿宋"/>
          <w:color w:val="auto"/>
          <w:kern w:val="0"/>
          <w:sz w:val="32"/>
          <w:szCs w:val="32"/>
        </w:rPr>
        <w:t>全年</w:t>
      </w:r>
      <w:r>
        <w:rPr>
          <w:rFonts w:hint="eastAsia" w:ascii="仿宋" w:hAnsi="仿宋" w:eastAsia="仿宋"/>
          <w:color w:val="auto"/>
          <w:kern w:val="0"/>
          <w:sz w:val="32"/>
          <w:szCs w:val="32"/>
          <w:lang w:eastAsia="zh-CN"/>
        </w:rPr>
        <w:t>直管区</w:t>
      </w:r>
      <w:r>
        <w:rPr>
          <w:rFonts w:ascii="仿宋" w:hAnsi="仿宋" w:eastAsia="仿宋"/>
          <w:color w:val="auto"/>
          <w:kern w:val="0"/>
          <w:sz w:val="32"/>
          <w:szCs w:val="32"/>
        </w:rPr>
        <w:t>固定资产投资总额比上年</w:t>
      </w:r>
      <w:r>
        <w:rPr>
          <w:rFonts w:hint="eastAsia" w:ascii="仿宋" w:hAnsi="仿宋" w:eastAsia="仿宋"/>
          <w:color w:val="auto"/>
          <w:kern w:val="0"/>
          <w:sz w:val="32"/>
          <w:szCs w:val="32"/>
          <w:lang w:eastAsia="zh-CN"/>
        </w:rPr>
        <w:t>下降</w:t>
      </w:r>
      <w:r>
        <w:rPr>
          <w:rFonts w:hint="eastAsia" w:ascii="仿宋" w:hAnsi="仿宋" w:eastAsia="仿宋"/>
          <w:color w:val="auto"/>
          <w:kern w:val="0"/>
          <w:sz w:val="32"/>
          <w:szCs w:val="32"/>
          <w:lang w:val="en-US" w:eastAsia="zh-CN"/>
        </w:rPr>
        <w:t>8.3%。其中，基础设施建设投资下降8.7%，工业投资增长1.6%，民间投资下降40</w:t>
      </w:r>
      <w:r>
        <w:rPr>
          <w:rFonts w:hint="eastAsia" w:ascii="仿宋" w:hAnsi="仿宋" w:eastAsia="仿宋"/>
          <w:color w:val="auto"/>
          <w:kern w:val="0"/>
          <w:sz w:val="32"/>
          <w:szCs w:val="32"/>
          <w:highlight w:val="none"/>
          <w:lang w:val="en-US" w:eastAsia="zh-CN"/>
        </w:rPr>
        <w:t>.2%</w:t>
      </w:r>
      <w:r>
        <w:rPr>
          <w:rFonts w:ascii="仿宋" w:hAnsi="仿宋" w:eastAsia="仿宋"/>
          <w:color w:val="auto"/>
          <w:kern w:val="0"/>
          <w:sz w:val="32"/>
          <w:szCs w:val="32"/>
          <w:highlight w:val="none"/>
        </w:rPr>
        <w:t>。</w:t>
      </w:r>
    </w:p>
    <w:p>
      <w:pPr>
        <w:snapToGrid w:val="0"/>
        <w:spacing w:before="0" w:after="0" w:line="600" w:lineRule="atLeast"/>
        <w:jc w:val="center"/>
        <w:rPr>
          <w:rFonts w:ascii="仿宋" w:hAnsi="仿宋" w:eastAsia="仿宋"/>
          <w:color w:val="auto"/>
          <w:kern w:val="0"/>
          <w:sz w:val="32"/>
          <w:szCs w:val="32"/>
        </w:rPr>
      </w:pPr>
      <w:r>
        <w:rPr>
          <w:rFonts w:ascii="仿宋" w:hAnsi="仿宋" w:eastAsia="仿宋"/>
          <w:color w:val="auto"/>
          <w:kern w:val="0"/>
          <w:sz w:val="32"/>
          <w:szCs w:val="32"/>
        </w:rPr>
        <w:t>表2  202</w:t>
      </w:r>
      <w:r>
        <w:rPr>
          <w:rFonts w:hint="eastAsia" w:ascii="仿宋" w:hAnsi="仿宋" w:eastAsia="仿宋"/>
          <w:color w:val="auto"/>
          <w:kern w:val="0"/>
          <w:sz w:val="32"/>
          <w:szCs w:val="32"/>
          <w:lang w:val="en-US" w:eastAsia="zh-CN"/>
        </w:rPr>
        <w:t>2</w:t>
      </w:r>
      <w:r>
        <w:rPr>
          <w:rFonts w:ascii="仿宋" w:hAnsi="仿宋" w:eastAsia="仿宋"/>
          <w:color w:val="auto"/>
          <w:kern w:val="0"/>
          <w:sz w:val="32"/>
          <w:szCs w:val="32"/>
        </w:rPr>
        <w:t>年</w:t>
      </w:r>
      <w:r>
        <w:rPr>
          <w:rFonts w:hint="eastAsia" w:ascii="仿宋" w:hAnsi="仿宋" w:eastAsia="仿宋"/>
          <w:color w:val="auto"/>
          <w:kern w:val="0"/>
          <w:sz w:val="32"/>
          <w:szCs w:val="32"/>
          <w:lang w:eastAsia="zh-CN"/>
        </w:rPr>
        <w:t>两江新区直管区</w:t>
      </w:r>
      <w:r>
        <w:rPr>
          <w:rFonts w:ascii="仿宋" w:hAnsi="仿宋" w:eastAsia="仿宋"/>
          <w:color w:val="auto"/>
          <w:kern w:val="0"/>
          <w:sz w:val="32"/>
          <w:szCs w:val="32"/>
        </w:rPr>
        <w:t>固定资产投资增长速度</w:t>
      </w:r>
    </w:p>
    <w:tbl>
      <w:tblPr>
        <w:tblStyle w:val="6"/>
        <w:tblW w:w="9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4845"/>
        <w:gridCol w:w="4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0" w:hRule="atLeast"/>
          <w:tblHeader/>
          <w:jc w:val="center"/>
        </w:trPr>
        <w:tc>
          <w:tcPr>
            <w:tcW w:w="4845" w:type="dxa"/>
            <w:tcBorders>
              <w:bottom w:val="single" w:color="000000" w:sz="8" w:space="0"/>
              <w:right w:val="single" w:color="000000" w:sz="8" w:space="0"/>
            </w:tcBorders>
            <w:vAlign w:val="center"/>
          </w:tcPr>
          <w:p>
            <w:pPr>
              <w:snapToGrid w:val="0"/>
              <w:spacing w:before="0" w:after="0" w:line="240" w:lineRule="auto"/>
              <w:jc w:val="center"/>
              <w:rPr>
                <w:rFonts w:ascii="宋体" w:hAnsi="宋体" w:eastAsia="宋体"/>
                <w:b/>
                <w:bCs/>
                <w:color w:val="auto"/>
                <w:kern w:val="0"/>
                <w:sz w:val="22"/>
                <w:szCs w:val="22"/>
              </w:rPr>
            </w:pPr>
            <w:r>
              <w:rPr>
                <w:rFonts w:ascii="宋体" w:hAnsi="宋体" w:eastAsia="宋体"/>
                <w:b/>
                <w:bCs/>
                <w:color w:val="auto"/>
                <w:kern w:val="0"/>
                <w:sz w:val="22"/>
                <w:szCs w:val="22"/>
              </w:rPr>
              <w:t>指标名称</w:t>
            </w:r>
          </w:p>
        </w:tc>
        <w:tc>
          <w:tcPr>
            <w:tcW w:w="4200" w:type="dxa"/>
            <w:tcBorders>
              <w:left w:val="single" w:color="000000" w:sz="8" w:space="0"/>
              <w:bottom w:val="single" w:color="000000" w:sz="8" w:space="0"/>
            </w:tcBorders>
            <w:shd w:val="clear" w:color="auto" w:fill="FFFFFF"/>
            <w:vAlign w:val="center"/>
          </w:tcPr>
          <w:p>
            <w:pPr>
              <w:snapToGrid w:val="0"/>
              <w:spacing w:before="0" w:after="0" w:line="240" w:lineRule="auto"/>
              <w:jc w:val="center"/>
              <w:rPr>
                <w:rFonts w:ascii="宋体" w:hAnsi="宋体" w:eastAsia="宋体"/>
                <w:b/>
                <w:bCs/>
                <w:color w:val="auto"/>
                <w:kern w:val="0"/>
                <w:sz w:val="22"/>
                <w:szCs w:val="22"/>
              </w:rPr>
            </w:pPr>
            <w:r>
              <w:rPr>
                <w:rFonts w:ascii="宋体" w:hAnsi="宋体" w:eastAsia="宋体"/>
                <w:b/>
                <w:bCs/>
                <w:color w:val="auto"/>
                <w:kern w:val="0"/>
                <w:sz w:val="22"/>
                <w:szCs w:val="22"/>
              </w:rPr>
              <w:t>比上年</w:t>
            </w:r>
            <w:r>
              <w:rPr>
                <w:rFonts w:hint="eastAsia" w:ascii="宋体" w:hAnsi="宋体" w:eastAsia="宋体"/>
                <w:b/>
                <w:bCs/>
                <w:color w:val="auto"/>
                <w:kern w:val="0"/>
                <w:sz w:val="22"/>
                <w:szCs w:val="22"/>
                <w:lang w:eastAsia="zh-CN"/>
              </w:rPr>
              <w:t>增速</w:t>
            </w:r>
            <w:r>
              <w:rPr>
                <w:rFonts w:ascii="宋体" w:hAnsi="宋体" w:eastAsia="宋体"/>
                <w:b/>
                <w:bCs/>
                <w:color w:val="auto"/>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jc w:val="center"/>
        </w:trPr>
        <w:tc>
          <w:tcPr>
            <w:tcW w:w="4845" w:type="dxa"/>
            <w:tcBorders>
              <w:top w:val="single" w:color="000000" w:sz="8" w:space="0"/>
              <w:bottom w:val="nil"/>
              <w:right w:val="single" w:color="000000" w:sz="8" w:space="0"/>
            </w:tcBorders>
            <w:shd w:val="clear" w:color="auto" w:fill="FFFFFF"/>
            <w:vAlign w:val="bottom"/>
          </w:tcPr>
          <w:p>
            <w:pPr>
              <w:snapToGrid w:val="0"/>
              <w:spacing w:before="0" w:after="0" w:line="240" w:lineRule="auto"/>
              <w:jc w:val="left"/>
              <w:rPr>
                <w:rFonts w:ascii="宋体" w:hAnsi="宋体" w:eastAsia="宋体"/>
                <w:color w:val="auto"/>
                <w:kern w:val="0"/>
                <w:sz w:val="22"/>
                <w:szCs w:val="22"/>
              </w:rPr>
            </w:pPr>
            <w:r>
              <w:rPr>
                <w:rFonts w:ascii="宋体" w:hAnsi="宋体" w:eastAsia="宋体"/>
                <w:color w:val="auto"/>
                <w:kern w:val="0"/>
                <w:sz w:val="22"/>
                <w:szCs w:val="22"/>
              </w:rPr>
              <w:t>固定资产投资完成额</w:t>
            </w:r>
          </w:p>
        </w:tc>
        <w:tc>
          <w:tcPr>
            <w:tcW w:w="4200" w:type="dxa"/>
            <w:tcBorders>
              <w:top w:val="single" w:color="000000" w:sz="8" w:space="0"/>
              <w:left w:val="single" w:color="000000" w:sz="8" w:space="0"/>
              <w:bottom w:val="nil"/>
            </w:tcBorders>
            <w:shd w:val="clear" w:color="auto" w:fill="FFFFFF"/>
            <w:vAlign w:val="center"/>
          </w:tcPr>
          <w:p>
            <w:pPr>
              <w:snapToGrid w:val="0"/>
              <w:spacing w:before="0" w:after="0" w:line="240" w:lineRule="auto"/>
              <w:jc w:val="right"/>
              <w:rPr>
                <w:rFonts w:ascii="宋体" w:hAnsi="宋体" w:eastAsia="宋体"/>
                <w:color w:val="auto"/>
                <w:kern w:val="0"/>
                <w:sz w:val="22"/>
                <w:szCs w:val="22"/>
              </w:rPr>
            </w:pPr>
            <w:r>
              <w:rPr>
                <w:rFonts w:hint="eastAsia" w:ascii="宋体" w:hAnsi="宋体" w:eastAsia="宋体"/>
                <w:color w:val="auto"/>
                <w:kern w:val="0"/>
                <w:sz w:val="22"/>
                <w:szCs w:val="22"/>
                <w:lang w:val="en-US" w:eastAsia="zh-CN"/>
              </w:rPr>
              <w:t>-8.3</w:t>
            </w:r>
            <w:r>
              <w:rPr>
                <w:rFonts w:ascii="宋体" w:hAnsi="宋体" w:eastAsia="宋体"/>
                <w:color w:val="auto"/>
                <w:kern w:val="0"/>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jc w:val="center"/>
        </w:trPr>
        <w:tc>
          <w:tcPr>
            <w:tcW w:w="4845" w:type="dxa"/>
            <w:tcBorders>
              <w:top w:val="nil"/>
              <w:bottom w:val="nil"/>
              <w:right w:val="single" w:color="000000" w:sz="8" w:space="0"/>
            </w:tcBorders>
            <w:shd w:val="clear" w:color="auto" w:fill="FFFFFF"/>
            <w:vAlign w:val="bottom"/>
          </w:tcPr>
          <w:p>
            <w:pPr>
              <w:snapToGrid w:val="0"/>
              <w:spacing w:before="0" w:after="0" w:line="240" w:lineRule="auto"/>
              <w:jc w:val="left"/>
              <w:rPr>
                <w:rFonts w:ascii="宋体" w:hAnsi="宋体" w:eastAsia="宋体"/>
                <w:color w:val="auto"/>
                <w:kern w:val="0"/>
                <w:sz w:val="22"/>
                <w:szCs w:val="22"/>
              </w:rPr>
            </w:pPr>
            <w:r>
              <w:rPr>
                <w:rFonts w:ascii="宋体" w:hAnsi="宋体" w:eastAsia="宋体"/>
                <w:color w:val="auto"/>
                <w:kern w:val="0"/>
                <w:sz w:val="22"/>
                <w:szCs w:val="22"/>
              </w:rPr>
              <w:t xml:space="preserve">   #基础设施投资</w:t>
            </w:r>
          </w:p>
        </w:tc>
        <w:tc>
          <w:tcPr>
            <w:tcW w:w="4200" w:type="dxa"/>
            <w:tcBorders>
              <w:top w:val="nil"/>
              <w:left w:val="single" w:color="000000" w:sz="8" w:space="0"/>
              <w:bottom w:val="nil"/>
            </w:tcBorders>
            <w:shd w:val="clear" w:color="auto" w:fill="FFFFFF"/>
            <w:vAlign w:val="center"/>
          </w:tcPr>
          <w:p>
            <w:pPr>
              <w:snapToGrid w:val="0"/>
              <w:spacing w:before="0" w:after="0" w:line="240" w:lineRule="auto"/>
              <w:jc w:val="right"/>
              <w:rPr>
                <w:rFonts w:ascii="宋体" w:hAnsi="宋体" w:eastAsia="宋体"/>
                <w:color w:val="auto"/>
                <w:kern w:val="0"/>
                <w:sz w:val="22"/>
                <w:szCs w:val="22"/>
              </w:rPr>
            </w:pPr>
            <w:r>
              <w:rPr>
                <w:rFonts w:hint="eastAsia" w:ascii="宋体" w:hAnsi="宋体" w:eastAsia="宋体"/>
                <w:color w:val="auto"/>
                <w:kern w:val="0"/>
                <w:sz w:val="22"/>
                <w:szCs w:val="22"/>
                <w:lang w:val="en-US" w:eastAsia="zh-CN"/>
              </w:rPr>
              <w:t>-8.7</w:t>
            </w:r>
            <w:r>
              <w:rPr>
                <w:rFonts w:ascii="宋体" w:hAnsi="宋体" w:eastAsia="宋体"/>
                <w:color w:val="auto"/>
                <w:kern w:val="0"/>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0" w:hRule="atLeast"/>
          <w:jc w:val="center"/>
        </w:trPr>
        <w:tc>
          <w:tcPr>
            <w:tcW w:w="4845" w:type="dxa"/>
            <w:tcBorders>
              <w:top w:val="nil"/>
              <w:bottom w:val="nil"/>
              <w:right w:val="single" w:color="000000" w:sz="8" w:space="0"/>
            </w:tcBorders>
            <w:shd w:val="clear" w:color="auto" w:fill="FFFFFF"/>
            <w:vAlign w:val="bottom"/>
          </w:tcPr>
          <w:p>
            <w:pPr>
              <w:snapToGrid w:val="0"/>
              <w:spacing w:before="0" w:after="0" w:line="240" w:lineRule="auto"/>
              <w:jc w:val="left"/>
              <w:rPr>
                <w:rFonts w:ascii="宋体" w:hAnsi="宋体" w:eastAsia="宋体"/>
                <w:color w:val="auto"/>
                <w:kern w:val="0"/>
                <w:sz w:val="22"/>
                <w:szCs w:val="22"/>
              </w:rPr>
            </w:pPr>
            <w:r>
              <w:rPr>
                <w:rFonts w:ascii="宋体" w:hAnsi="宋体" w:eastAsia="宋体"/>
                <w:color w:val="auto"/>
                <w:kern w:val="0"/>
                <w:sz w:val="22"/>
                <w:szCs w:val="22"/>
              </w:rPr>
              <w:t xml:space="preserve">   按构成分</w:t>
            </w:r>
          </w:p>
        </w:tc>
        <w:tc>
          <w:tcPr>
            <w:tcW w:w="4200" w:type="dxa"/>
            <w:tcBorders>
              <w:top w:val="nil"/>
              <w:left w:val="single" w:color="000000" w:sz="8" w:space="0"/>
              <w:bottom w:val="nil"/>
            </w:tcBorders>
            <w:shd w:val="clear" w:color="auto" w:fill="FFFFFF"/>
            <w:vAlign w:val="center"/>
          </w:tcPr>
          <w:p>
            <w:pPr>
              <w:snapToGrid w:val="0"/>
              <w:spacing w:before="0" w:after="0" w:line="240" w:lineRule="auto"/>
              <w:jc w:val="left"/>
              <w:rPr>
                <w:rFonts w:ascii="Times New Roman" w:hAnsi="Times New Roman" w:eastAsia="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jc w:val="center"/>
        </w:trPr>
        <w:tc>
          <w:tcPr>
            <w:tcW w:w="4845" w:type="dxa"/>
            <w:tcBorders>
              <w:top w:val="nil"/>
              <w:bottom w:val="nil"/>
              <w:right w:val="single" w:color="000000" w:sz="8" w:space="0"/>
            </w:tcBorders>
            <w:shd w:val="clear" w:color="auto" w:fill="FFFFFF"/>
            <w:vAlign w:val="bottom"/>
          </w:tcPr>
          <w:p>
            <w:pPr>
              <w:snapToGrid w:val="0"/>
              <w:spacing w:before="0" w:after="0" w:line="240" w:lineRule="auto"/>
              <w:jc w:val="left"/>
              <w:rPr>
                <w:rFonts w:ascii="宋体" w:hAnsi="宋体" w:eastAsia="宋体"/>
                <w:color w:val="auto"/>
                <w:kern w:val="0"/>
                <w:sz w:val="22"/>
                <w:szCs w:val="22"/>
              </w:rPr>
            </w:pPr>
            <w:r>
              <w:rPr>
                <w:rFonts w:ascii="宋体" w:hAnsi="宋体" w:eastAsia="宋体"/>
                <w:color w:val="auto"/>
                <w:kern w:val="0"/>
                <w:sz w:val="22"/>
                <w:szCs w:val="22"/>
              </w:rPr>
              <w:t xml:space="preserve">     建筑安装工程</w:t>
            </w:r>
          </w:p>
        </w:tc>
        <w:tc>
          <w:tcPr>
            <w:tcW w:w="4200" w:type="dxa"/>
            <w:tcBorders>
              <w:top w:val="nil"/>
              <w:left w:val="single" w:color="000000" w:sz="8" w:space="0"/>
              <w:bottom w:val="nil"/>
            </w:tcBorders>
            <w:shd w:val="clear" w:color="auto" w:fill="FFFFFF"/>
            <w:vAlign w:val="center"/>
          </w:tcPr>
          <w:p>
            <w:pPr>
              <w:snapToGrid w:val="0"/>
              <w:spacing w:before="0" w:after="0" w:line="240" w:lineRule="auto"/>
              <w:jc w:val="right"/>
              <w:rPr>
                <w:rFonts w:ascii="宋体" w:hAnsi="宋体" w:eastAsia="宋体"/>
                <w:color w:val="auto"/>
                <w:kern w:val="0"/>
                <w:sz w:val="22"/>
                <w:szCs w:val="22"/>
              </w:rPr>
            </w:pPr>
            <w:r>
              <w:rPr>
                <w:rFonts w:hint="eastAsia" w:ascii="宋体" w:hAnsi="宋体" w:eastAsia="宋体"/>
                <w:color w:val="auto"/>
                <w:kern w:val="0"/>
                <w:sz w:val="22"/>
                <w:szCs w:val="22"/>
                <w:lang w:val="en-US" w:eastAsia="zh-CN"/>
              </w:rPr>
              <w:t>-15.9</w:t>
            </w:r>
            <w:r>
              <w:rPr>
                <w:rFonts w:ascii="宋体" w:hAnsi="宋体" w:eastAsia="宋体"/>
                <w:color w:val="auto"/>
                <w:kern w:val="0"/>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0" w:hRule="atLeast"/>
          <w:jc w:val="center"/>
        </w:trPr>
        <w:tc>
          <w:tcPr>
            <w:tcW w:w="4845" w:type="dxa"/>
            <w:tcBorders>
              <w:top w:val="nil"/>
              <w:bottom w:val="nil"/>
              <w:right w:val="single" w:color="000000" w:sz="8" w:space="0"/>
            </w:tcBorders>
            <w:shd w:val="clear" w:color="auto" w:fill="FFFFFF"/>
            <w:vAlign w:val="bottom"/>
          </w:tcPr>
          <w:p>
            <w:pPr>
              <w:snapToGrid w:val="0"/>
              <w:spacing w:before="0" w:after="0" w:line="240" w:lineRule="auto"/>
              <w:jc w:val="left"/>
              <w:rPr>
                <w:rFonts w:ascii="宋体" w:hAnsi="宋体" w:eastAsia="宋体"/>
                <w:color w:val="auto"/>
                <w:kern w:val="0"/>
                <w:sz w:val="22"/>
                <w:szCs w:val="22"/>
              </w:rPr>
            </w:pPr>
            <w:r>
              <w:rPr>
                <w:rFonts w:ascii="宋体" w:hAnsi="宋体" w:eastAsia="宋体"/>
                <w:color w:val="auto"/>
                <w:kern w:val="0"/>
                <w:sz w:val="22"/>
                <w:szCs w:val="22"/>
              </w:rPr>
              <w:t xml:space="preserve">   按产业分</w:t>
            </w:r>
          </w:p>
        </w:tc>
        <w:tc>
          <w:tcPr>
            <w:tcW w:w="4200" w:type="dxa"/>
            <w:tcBorders>
              <w:top w:val="nil"/>
              <w:left w:val="single" w:color="000000" w:sz="8" w:space="0"/>
              <w:bottom w:val="nil"/>
            </w:tcBorders>
            <w:shd w:val="clear" w:color="auto" w:fill="FFFFFF"/>
            <w:vAlign w:val="center"/>
          </w:tcPr>
          <w:p>
            <w:pPr>
              <w:snapToGrid w:val="0"/>
              <w:spacing w:before="0" w:after="0" w:line="240" w:lineRule="auto"/>
              <w:jc w:val="left"/>
              <w:rPr>
                <w:rFonts w:ascii="Times New Roman" w:hAnsi="Times New Roman" w:eastAsia="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0" w:hRule="atLeast"/>
          <w:jc w:val="center"/>
        </w:trPr>
        <w:tc>
          <w:tcPr>
            <w:tcW w:w="4845" w:type="dxa"/>
            <w:tcBorders>
              <w:top w:val="nil"/>
              <w:bottom w:val="nil"/>
              <w:right w:val="single" w:color="000000" w:sz="8" w:space="0"/>
            </w:tcBorders>
            <w:shd w:val="clear" w:color="auto" w:fill="FFFFFF"/>
            <w:vAlign w:val="bottom"/>
          </w:tcPr>
          <w:p>
            <w:pPr>
              <w:snapToGrid w:val="0"/>
              <w:spacing w:before="0" w:after="0" w:line="240" w:lineRule="auto"/>
              <w:jc w:val="left"/>
              <w:rPr>
                <w:rFonts w:ascii="宋体" w:hAnsi="宋体" w:eastAsia="宋体"/>
                <w:color w:val="auto"/>
                <w:kern w:val="0"/>
                <w:sz w:val="22"/>
                <w:szCs w:val="22"/>
              </w:rPr>
            </w:pPr>
            <w:r>
              <w:rPr>
                <w:rFonts w:ascii="宋体" w:hAnsi="宋体" w:eastAsia="宋体"/>
                <w:color w:val="auto"/>
                <w:kern w:val="0"/>
                <w:sz w:val="22"/>
                <w:szCs w:val="22"/>
              </w:rPr>
              <w:t xml:space="preserve">     第二产业</w:t>
            </w:r>
          </w:p>
        </w:tc>
        <w:tc>
          <w:tcPr>
            <w:tcW w:w="4200" w:type="dxa"/>
            <w:tcBorders>
              <w:top w:val="nil"/>
              <w:left w:val="single" w:color="000000" w:sz="8" w:space="0"/>
              <w:bottom w:val="nil"/>
            </w:tcBorders>
            <w:shd w:val="clear" w:color="auto" w:fill="FFFFFF"/>
            <w:vAlign w:val="center"/>
          </w:tcPr>
          <w:p>
            <w:pPr>
              <w:snapToGrid w:val="0"/>
              <w:spacing w:before="0" w:after="0" w:line="240" w:lineRule="auto"/>
              <w:jc w:val="right"/>
              <w:rPr>
                <w:rFonts w:ascii="宋体" w:hAnsi="宋体" w:eastAsia="宋体"/>
                <w:color w:val="auto"/>
                <w:kern w:val="0"/>
                <w:sz w:val="22"/>
                <w:szCs w:val="22"/>
              </w:rPr>
            </w:pPr>
            <w:r>
              <w:rPr>
                <w:rFonts w:hint="eastAsia" w:ascii="宋体" w:hAnsi="宋体" w:eastAsia="宋体"/>
                <w:color w:val="auto"/>
                <w:kern w:val="0"/>
                <w:sz w:val="22"/>
                <w:szCs w:val="22"/>
                <w:lang w:val="en-US" w:eastAsia="zh-CN"/>
              </w:rPr>
              <w:t>1.6</w:t>
            </w:r>
            <w:r>
              <w:rPr>
                <w:rFonts w:ascii="宋体" w:hAnsi="宋体" w:eastAsia="宋体"/>
                <w:color w:val="auto"/>
                <w:kern w:val="0"/>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0" w:hRule="atLeast"/>
          <w:jc w:val="center"/>
        </w:trPr>
        <w:tc>
          <w:tcPr>
            <w:tcW w:w="4845" w:type="dxa"/>
            <w:tcBorders>
              <w:top w:val="nil"/>
              <w:bottom w:val="nil"/>
              <w:right w:val="single" w:color="000000" w:sz="8" w:space="0"/>
            </w:tcBorders>
            <w:shd w:val="clear" w:color="auto" w:fill="FFFFFF"/>
            <w:vAlign w:val="bottom"/>
          </w:tcPr>
          <w:p>
            <w:pPr>
              <w:snapToGrid w:val="0"/>
              <w:spacing w:before="0" w:after="0" w:line="240" w:lineRule="auto"/>
              <w:jc w:val="left"/>
              <w:rPr>
                <w:rFonts w:ascii="宋体" w:hAnsi="宋体" w:eastAsia="宋体"/>
                <w:color w:val="auto"/>
                <w:kern w:val="0"/>
                <w:sz w:val="22"/>
                <w:szCs w:val="22"/>
              </w:rPr>
            </w:pPr>
            <w:r>
              <w:rPr>
                <w:rFonts w:ascii="宋体" w:hAnsi="宋体" w:eastAsia="宋体"/>
                <w:color w:val="auto"/>
                <w:kern w:val="0"/>
                <w:sz w:val="22"/>
                <w:szCs w:val="22"/>
              </w:rPr>
              <w:t xml:space="preserve">       #工  业</w:t>
            </w:r>
          </w:p>
        </w:tc>
        <w:tc>
          <w:tcPr>
            <w:tcW w:w="4200" w:type="dxa"/>
            <w:tcBorders>
              <w:top w:val="nil"/>
              <w:left w:val="single" w:color="000000" w:sz="8" w:space="0"/>
              <w:bottom w:val="nil"/>
            </w:tcBorders>
            <w:shd w:val="clear" w:color="auto" w:fill="FFFFFF"/>
            <w:vAlign w:val="center"/>
          </w:tcPr>
          <w:p>
            <w:pPr>
              <w:snapToGrid w:val="0"/>
              <w:spacing w:before="0" w:after="0" w:line="240" w:lineRule="auto"/>
              <w:jc w:val="right"/>
              <w:rPr>
                <w:rFonts w:ascii="宋体" w:hAnsi="宋体" w:eastAsia="宋体"/>
                <w:color w:val="auto"/>
                <w:kern w:val="0"/>
                <w:sz w:val="22"/>
                <w:szCs w:val="22"/>
              </w:rPr>
            </w:pPr>
            <w:r>
              <w:rPr>
                <w:rFonts w:hint="eastAsia" w:ascii="宋体" w:hAnsi="宋体" w:eastAsia="宋体"/>
                <w:color w:val="auto"/>
                <w:kern w:val="0"/>
                <w:sz w:val="22"/>
                <w:szCs w:val="22"/>
                <w:lang w:val="en-US" w:eastAsia="zh-CN"/>
              </w:rPr>
              <w:t>1.6</w:t>
            </w:r>
            <w:r>
              <w:rPr>
                <w:rFonts w:ascii="宋体" w:hAnsi="宋体" w:eastAsia="宋体"/>
                <w:color w:val="auto"/>
                <w:kern w:val="0"/>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0" w:hRule="atLeast"/>
          <w:jc w:val="center"/>
        </w:trPr>
        <w:tc>
          <w:tcPr>
            <w:tcW w:w="4845" w:type="dxa"/>
            <w:tcBorders>
              <w:top w:val="nil"/>
              <w:bottom w:val="nil"/>
              <w:right w:val="single" w:color="000000" w:sz="8" w:space="0"/>
            </w:tcBorders>
            <w:shd w:val="clear" w:color="auto" w:fill="FFFFFF"/>
            <w:vAlign w:val="bottom"/>
          </w:tcPr>
          <w:p>
            <w:pPr>
              <w:snapToGrid w:val="0"/>
              <w:spacing w:before="0" w:after="0" w:line="240" w:lineRule="auto"/>
              <w:jc w:val="left"/>
              <w:rPr>
                <w:rFonts w:ascii="宋体" w:hAnsi="宋体" w:eastAsia="宋体"/>
                <w:color w:val="auto"/>
                <w:kern w:val="0"/>
                <w:sz w:val="22"/>
                <w:szCs w:val="22"/>
              </w:rPr>
            </w:pPr>
            <w:r>
              <w:rPr>
                <w:rFonts w:ascii="宋体" w:hAnsi="宋体" w:eastAsia="宋体"/>
                <w:color w:val="auto"/>
                <w:kern w:val="0"/>
                <w:sz w:val="22"/>
                <w:szCs w:val="22"/>
              </w:rPr>
              <w:t xml:space="preserve">        #工业技改</w:t>
            </w:r>
          </w:p>
        </w:tc>
        <w:tc>
          <w:tcPr>
            <w:tcW w:w="4200" w:type="dxa"/>
            <w:tcBorders>
              <w:top w:val="nil"/>
              <w:left w:val="single" w:color="000000" w:sz="8" w:space="0"/>
              <w:bottom w:val="nil"/>
            </w:tcBorders>
            <w:shd w:val="clear" w:color="auto" w:fill="FFFFFF"/>
            <w:vAlign w:val="center"/>
          </w:tcPr>
          <w:p>
            <w:pPr>
              <w:snapToGrid w:val="0"/>
              <w:spacing w:before="0" w:after="0" w:line="240" w:lineRule="auto"/>
              <w:jc w:val="right"/>
              <w:rPr>
                <w:rFonts w:ascii="宋体" w:hAnsi="宋体" w:eastAsia="宋体"/>
                <w:color w:val="auto"/>
                <w:kern w:val="0"/>
                <w:sz w:val="22"/>
                <w:szCs w:val="22"/>
              </w:rPr>
            </w:pPr>
            <w:r>
              <w:rPr>
                <w:rFonts w:hint="eastAsia" w:ascii="宋体" w:hAnsi="宋体" w:eastAsia="宋体"/>
                <w:color w:val="auto"/>
                <w:sz w:val="22"/>
                <w:szCs w:val="22"/>
                <w:lang w:val="en-US" w:eastAsia="zh-CN"/>
              </w:rPr>
              <w:t>-</w:t>
            </w:r>
            <w:r>
              <w:rPr>
                <w:rFonts w:ascii="宋体" w:hAnsi="宋体" w:eastAsia="宋体"/>
                <w:color w:val="auto"/>
                <w:sz w:val="22"/>
                <w:szCs w:val="22"/>
              </w:rPr>
              <w:t>1</w:t>
            </w:r>
            <w:r>
              <w:rPr>
                <w:rFonts w:hint="eastAsia" w:ascii="宋体" w:hAnsi="宋体" w:eastAsia="宋体"/>
                <w:color w:val="auto"/>
                <w:sz w:val="22"/>
                <w:szCs w:val="22"/>
                <w:lang w:val="en-US" w:eastAsia="zh-CN"/>
              </w:rPr>
              <w:t>.0</w:t>
            </w:r>
            <w:r>
              <w:rPr>
                <w:rFonts w:ascii="宋体" w:hAnsi="宋体" w:eastAsia="宋体"/>
                <w:color w:val="auto"/>
                <w:kern w:val="0"/>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0" w:hRule="atLeast"/>
          <w:jc w:val="center"/>
        </w:trPr>
        <w:tc>
          <w:tcPr>
            <w:tcW w:w="4845" w:type="dxa"/>
            <w:tcBorders>
              <w:top w:val="nil"/>
              <w:bottom w:val="nil"/>
              <w:right w:val="single" w:color="000000" w:sz="8" w:space="0"/>
            </w:tcBorders>
            <w:shd w:val="clear" w:color="auto" w:fill="FFFFFF"/>
            <w:vAlign w:val="bottom"/>
          </w:tcPr>
          <w:p>
            <w:pPr>
              <w:snapToGrid w:val="0"/>
              <w:spacing w:before="0" w:after="0" w:line="240" w:lineRule="auto"/>
              <w:jc w:val="left"/>
              <w:rPr>
                <w:rFonts w:ascii="宋体" w:hAnsi="宋体" w:eastAsia="宋体"/>
                <w:color w:val="auto"/>
                <w:kern w:val="0"/>
                <w:sz w:val="22"/>
                <w:szCs w:val="22"/>
              </w:rPr>
            </w:pPr>
            <w:r>
              <w:rPr>
                <w:rFonts w:ascii="宋体" w:hAnsi="宋体" w:eastAsia="宋体"/>
                <w:color w:val="auto"/>
                <w:kern w:val="0"/>
                <w:sz w:val="22"/>
                <w:szCs w:val="22"/>
              </w:rPr>
              <w:t xml:space="preserve">     第三产业</w:t>
            </w:r>
          </w:p>
        </w:tc>
        <w:tc>
          <w:tcPr>
            <w:tcW w:w="4200" w:type="dxa"/>
            <w:tcBorders>
              <w:top w:val="nil"/>
              <w:left w:val="single" w:color="000000" w:sz="8" w:space="0"/>
              <w:bottom w:val="nil"/>
            </w:tcBorders>
            <w:shd w:val="clear" w:color="auto" w:fill="FFFFFF"/>
            <w:vAlign w:val="center"/>
          </w:tcPr>
          <w:p>
            <w:pPr>
              <w:snapToGrid w:val="0"/>
              <w:spacing w:before="0" w:after="0" w:line="240" w:lineRule="auto"/>
              <w:jc w:val="right"/>
              <w:rPr>
                <w:rFonts w:ascii="宋体" w:hAnsi="宋体" w:eastAsia="宋体"/>
                <w:color w:val="auto"/>
                <w:kern w:val="0"/>
                <w:sz w:val="22"/>
                <w:szCs w:val="22"/>
              </w:rPr>
            </w:pPr>
            <w:r>
              <w:rPr>
                <w:rFonts w:hint="eastAsia" w:ascii="宋体" w:hAnsi="宋体" w:eastAsia="宋体"/>
                <w:color w:val="auto"/>
                <w:kern w:val="0"/>
                <w:sz w:val="22"/>
                <w:szCs w:val="22"/>
                <w:lang w:val="en-US" w:eastAsia="zh-CN"/>
              </w:rPr>
              <w:t>-23.5</w:t>
            </w:r>
            <w:r>
              <w:rPr>
                <w:rFonts w:ascii="宋体" w:hAnsi="宋体" w:eastAsia="宋体"/>
                <w:color w:val="auto"/>
                <w:kern w:val="0"/>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jc w:val="center"/>
        </w:trPr>
        <w:tc>
          <w:tcPr>
            <w:tcW w:w="4845" w:type="dxa"/>
            <w:tcBorders>
              <w:top w:val="nil"/>
              <w:right w:val="single" w:color="000000" w:sz="8" w:space="0"/>
            </w:tcBorders>
            <w:shd w:val="clear" w:color="auto" w:fill="FFFFFF"/>
            <w:vAlign w:val="bottom"/>
          </w:tcPr>
          <w:p>
            <w:pPr>
              <w:snapToGrid w:val="0"/>
              <w:spacing w:before="0" w:after="0" w:line="240" w:lineRule="auto"/>
              <w:jc w:val="left"/>
              <w:rPr>
                <w:rFonts w:ascii="宋体" w:hAnsi="宋体" w:eastAsia="宋体"/>
                <w:color w:val="auto"/>
                <w:kern w:val="0"/>
                <w:sz w:val="22"/>
                <w:szCs w:val="22"/>
              </w:rPr>
            </w:pPr>
            <w:r>
              <w:rPr>
                <w:rFonts w:ascii="宋体" w:hAnsi="宋体" w:eastAsia="宋体"/>
                <w:color w:val="auto"/>
                <w:kern w:val="0"/>
                <w:sz w:val="22"/>
                <w:szCs w:val="22"/>
              </w:rPr>
              <w:t xml:space="preserve">       #房地产业</w:t>
            </w:r>
          </w:p>
        </w:tc>
        <w:tc>
          <w:tcPr>
            <w:tcW w:w="4200" w:type="dxa"/>
            <w:tcBorders>
              <w:top w:val="nil"/>
              <w:left w:val="single" w:color="000000" w:sz="8" w:space="0"/>
            </w:tcBorders>
            <w:shd w:val="clear" w:color="auto" w:fill="FFFFFF"/>
            <w:vAlign w:val="center"/>
          </w:tcPr>
          <w:p>
            <w:pPr>
              <w:snapToGrid w:val="0"/>
              <w:spacing w:before="0" w:after="0" w:line="240" w:lineRule="auto"/>
              <w:jc w:val="right"/>
              <w:rPr>
                <w:rFonts w:ascii="宋体" w:hAnsi="宋体" w:eastAsia="宋体"/>
                <w:color w:val="auto"/>
                <w:kern w:val="0"/>
                <w:sz w:val="22"/>
                <w:szCs w:val="22"/>
              </w:rPr>
            </w:pPr>
            <w:r>
              <w:rPr>
                <w:rFonts w:hint="eastAsia" w:ascii="宋体" w:hAnsi="宋体" w:eastAsia="宋体"/>
                <w:color w:val="auto"/>
                <w:kern w:val="0"/>
                <w:sz w:val="22"/>
                <w:szCs w:val="22"/>
                <w:lang w:val="en-US" w:eastAsia="zh-CN"/>
              </w:rPr>
              <w:t>-40.5</w:t>
            </w:r>
            <w:r>
              <w:rPr>
                <w:rFonts w:ascii="宋体" w:hAnsi="宋体" w:eastAsia="宋体"/>
                <w:color w:val="auto"/>
                <w:kern w:val="0"/>
                <w:sz w:val="22"/>
                <w:szCs w:val="22"/>
              </w:rPr>
              <w:t xml:space="preserve"> </w:t>
            </w:r>
          </w:p>
        </w:tc>
      </w:tr>
    </w:tbl>
    <w:p>
      <w:pPr>
        <w:snapToGrid w:val="0"/>
        <w:spacing w:before="0" w:after="0" w:line="600" w:lineRule="exact"/>
        <w:ind w:firstLine="646"/>
        <w:jc w:val="both"/>
        <w:rPr>
          <w:rFonts w:hint="eastAsia" w:ascii="仿宋" w:hAnsi="仿宋" w:eastAsia="仿宋"/>
          <w:color w:val="FF0000"/>
          <w:sz w:val="28"/>
          <w:szCs w:val="28"/>
          <w:highlight w:val="none"/>
          <w:lang w:val="en-US" w:eastAsia="zh-CN"/>
        </w:rPr>
      </w:pPr>
      <w:r>
        <w:rPr>
          <w:rFonts w:hint="eastAsia" w:ascii="仿宋" w:hAnsi="仿宋" w:eastAsia="仿宋"/>
          <w:color w:val="auto"/>
          <w:kern w:val="0"/>
          <w:sz w:val="32"/>
          <w:szCs w:val="32"/>
          <w:highlight w:val="none"/>
          <w:lang w:eastAsia="zh-CN"/>
        </w:rPr>
        <w:t>全年直管区</w:t>
      </w:r>
      <w:r>
        <w:rPr>
          <w:rFonts w:hint="eastAsia" w:ascii="仿宋" w:hAnsi="仿宋" w:eastAsia="仿宋"/>
          <w:color w:val="auto"/>
          <w:kern w:val="0"/>
          <w:sz w:val="32"/>
          <w:szCs w:val="32"/>
          <w:highlight w:val="none"/>
        </w:rPr>
        <w:t>房地产开发投资478.23亿元，比上年下降40.5%。其中，住宅投资363.81亿元，下降38.7%；办公楼投资16.55亿元，下降31.7%；商业营业用房投资32.68亿元，下降45.1%。</w:t>
      </w:r>
    </w:p>
    <w:p>
      <w:pPr>
        <w:snapToGrid w:val="0"/>
        <w:spacing w:before="0" w:after="0" w:line="600" w:lineRule="atLeast"/>
        <w:jc w:val="center"/>
        <w:rPr>
          <w:rFonts w:ascii="仿宋" w:hAnsi="仿宋" w:eastAsia="仿宋"/>
          <w:color w:val="FF0000"/>
          <w:kern w:val="0"/>
          <w:sz w:val="32"/>
          <w:szCs w:val="32"/>
        </w:rPr>
      </w:pPr>
      <w:r>
        <w:rPr>
          <w:rFonts w:hint="eastAsia" w:ascii="仿宋" w:hAnsi="仿宋" w:eastAsia="仿宋"/>
          <w:color w:val="auto"/>
          <w:kern w:val="0"/>
          <w:sz w:val="32"/>
          <w:szCs w:val="32"/>
        </w:rPr>
        <w:t>表</w:t>
      </w:r>
      <w:r>
        <w:rPr>
          <w:rFonts w:hint="eastAsia" w:ascii="仿宋" w:hAnsi="仿宋" w:eastAsia="仿宋"/>
          <w:color w:val="auto"/>
          <w:kern w:val="0"/>
          <w:sz w:val="32"/>
          <w:szCs w:val="32"/>
          <w:lang w:val="en-US" w:eastAsia="zh-CN"/>
        </w:rPr>
        <w:t>3</w:t>
      </w:r>
      <w:r>
        <w:rPr>
          <w:rFonts w:hint="eastAsia" w:ascii="仿宋" w:hAnsi="仿宋" w:eastAsia="仿宋"/>
          <w:color w:val="auto"/>
          <w:kern w:val="0"/>
          <w:sz w:val="32"/>
          <w:szCs w:val="32"/>
        </w:rPr>
        <w:t xml:space="preserve">  2022年商品房建设与销售主要指标及其增长速度</w:t>
      </w:r>
    </w:p>
    <w:tbl>
      <w:tblPr>
        <w:tblStyle w:val="6"/>
        <w:tblW w:w="9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3975"/>
        <w:gridCol w:w="2535"/>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0" w:hRule="atLeast"/>
          <w:tblHeader/>
          <w:jc w:val="center"/>
        </w:trPr>
        <w:tc>
          <w:tcPr>
            <w:tcW w:w="3975" w:type="dxa"/>
            <w:tcBorders>
              <w:bottom w:val="single" w:color="000000" w:sz="8" w:space="0"/>
              <w:right w:val="single" w:color="000000" w:sz="8" w:space="0"/>
            </w:tcBorders>
            <w:vAlign w:val="center"/>
          </w:tcPr>
          <w:p>
            <w:pPr>
              <w:snapToGrid w:val="0"/>
              <w:jc w:val="center"/>
              <w:rPr>
                <w:rFonts w:ascii="宋体" w:hAnsi="宋体" w:eastAsia="宋体"/>
                <w:b/>
                <w:bCs/>
                <w:color w:val="auto"/>
                <w:kern w:val="0"/>
                <w:sz w:val="22"/>
                <w:highlight w:val="none"/>
              </w:rPr>
            </w:pPr>
            <w:r>
              <w:rPr>
                <w:rFonts w:ascii="宋体" w:hAnsi="宋体" w:eastAsia="宋体"/>
                <w:b/>
                <w:bCs/>
                <w:color w:val="auto"/>
                <w:kern w:val="0"/>
                <w:sz w:val="22"/>
                <w:highlight w:val="none"/>
              </w:rPr>
              <w:t>指标名称</w:t>
            </w:r>
          </w:p>
        </w:tc>
        <w:tc>
          <w:tcPr>
            <w:tcW w:w="2535" w:type="dxa"/>
            <w:tcBorders>
              <w:left w:val="single" w:color="000000" w:sz="8" w:space="0"/>
              <w:bottom w:val="single" w:color="000000" w:sz="8" w:space="0"/>
              <w:right w:val="single" w:color="000000" w:sz="8" w:space="0"/>
            </w:tcBorders>
            <w:shd w:val="clear" w:color="auto" w:fill="FFFFFF"/>
            <w:vAlign w:val="center"/>
          </w:tcPr>
          <w:p>
            <w:pPr>
              <w:snapToGrid w:val="0"/>
              <w:jc w:val="center"/>
              <w:rPr>
                <w:rFonts w:ascii="宋体" w:hAnsi="宋体" w:eastAsia="宋体"/>
                <w:b/>
                <w:bCs/>
                <w:color w:val="auto"/>
                <w:kern w:val="0"/>
                <w:sz w:val="22"/>
                <w:highlight w:val="none"/>
              </w:rPr>
            </w:pPr>
            <w:r>
              <w:rPr>
                <w:rFonts w:ascii="宋体" w:hAnsi="宋体" w:eastAsia="宋体"/>
                <w:b/>
                <w:bCs/>
                <w:color w:val="auto"/>
                <w:kern w:val="0"/>
                <w:sz w:val="22"/>
                <w:highlight w:val="none"/>
              </w:rPr>
              <w:t>绝对量</w:t>
            </w:r>
          </w:p>
        </w:tc>
        <w:tc>
          <w:tcPr>
            <w:tcW w:w="2535" w:type="dxa"/>
            <w:tcBorders>
              <w:left w:val="single" w:color="000000" w:sz="8" w:space="0"/>
              <w:bottom w:val="single" w:color="000000" w:sz="8" w:space="0"/>
            </w:tcBorders>
            <w:shd w:val="clear" w:color="auto" w:fill="FFFFFF"/>
            <w:vAlign w:val="center"/>
          </w:tcPr>
          <w:p>
            <w:pPr>
              <w:snapToGrid w:val="0"/>
              <w:jc w:val="center"/>
              <w:rPr>
                <w:rFonts w:ascii="宋体" w:hAnsi="宋体" w:eastAsia="宋体"/>
                <w:b/>
                <w:bCs/>
                <w:color w:val="auto"/>
                <w:kern w:val="0"/>
                <w:sz w:val="22"/>
                <w:highlight w:val="none"/>
              </w:rPr>
            </w:pPr>
            <w:r>
              <w:rPr>
                <w:rFonts w:ascii="宋体" w:hAnsi="宋体" w:eastAsia="宋体"/>
                <w:b/>
                <w:bCs/>
                <w:color w:val="auto"/>
                <w:kern w:val="0"/>
                <w:sz w:val="22"/>
                <w:highlight w:val="none"/>
              </w:rPr>
              <w:t>比上年增长（%）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0" w:hRule="atLeast"/>
          <w:jc w:val="center"/>
        </w:trPr>
        <w:tc>
          <w:tcPr>
            <w:tcW w:w="3975" w:type="dxa"/>
            <w:tcBorders>
              <w:top w:val="single" w:color="000000" w:sz="8" w:space="0"/>
              <w:bottom w:val="single" w:color="000000" w:sz="8" w:space="0"/>
              <w:right w:val="single" w:color="000000" w:sz="8" w:space="0"/>
            </w:tcBorders>
            <w:shd w:val="clear" w:color="auto" w:fill="FFFFFF"/>
            <w:vAlign w:val="bottom"/>
          </w:tcPr>
          <w:p>
            <w:pPr>
              <w:snapToGrid w:val="0"/>
              <w:jc w:val="left"/>
              <w:rPr>
                <w:rFonts w:ascii="宋体" w:hAnsi="宋体" w:eastAsia="宋体"/>
                <w:color w:val="auto"/>
                <w:kern w:val="0"/>
                <w:sz w:val="22"/>
                <w:highlight w:val="none"/>
              </w:rPr>
            </w:pPr>
            <w:r>
              <w:rPr>
                <w:rFonts w:ascii="宋体" w:hAnsi="宋体" w:eastAsia="宋体"/>
                <w:color w:val="auto"/>
                <w:kern w:val="0"/>
                <w:sz w:val="22"/>
                <w:highlight w:val="none"/>
              </w:rPr>
              <w:t>施工面积（万平方米）</w:t>
            </w:r>
          </w:p>
        </w:tc>
        <w:tc>
          <w:tcPr>
            <w:tcW w:w="25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right"/>
              <w:rPr>
                <w:rFonts w:ascii="宋体" w:hAnsi="宋体" w:eastAsia="宋体" w:cs="宋体"/>
                <w:color w:val="auto"/>
                <w:sz w:val="22"/>
                <w:highlight w:val="none"/>
              </w:rPr>
            </w:pPr>
            <w:r>
              <w:rPr>
                <w:rFonts w:hint="eastAsia"/>
                <w:color w:val="auto"/>
                <w:sz w:val="22"/>
                <w:highlight w:val="none"/>
              </w:rPr>
              <w:t xml:space="preserve">3632.92 </w:t>
            </w:r>
          </w:p>
        </w:tc>
        <w:tc>
          <w:tcPr>
            <w:tcW w:w="2535" w:type="dxa"/>
            <w:tcBorders>
              <w:top w:val="single" w:color="000000" w:sz="8" w:space="0"/>
              <w:left w:val="single" w:color="000000" w:sz="8" w:space="0"/>
              <w:bottom w:val="single" w:color="000000" w:sz="8" w:space="0"/>
            </w:tcBorders>
            <w:shd w:val="clear" w:color="auto" w:fill="auto"/>
            <w:vAlign w:val="center"/>
          </w:tcPr>
          <w:p>
            <w:pPr>
              <w:jc w:val="right"/>
              <w:rPr>
                <w:rFonts w:ascii="宋体" w:hAnsi="宋体" w:eastAsia="宋体" w:cs="宋体"/>
                <w:color w:val="auto"/>
                <w:sz w:val="22"/>
                <w:highlight w:val="none"/>
              </w:rPr>
            </w:pPr>
            <w:r>
              <w:rPr>
                <w:rFonts w:hint="eastAsia"/>
                <w:color w:val="auto"/>
                <w:sz w:val="22"/>
                <w:highlight w:val="none"/>
              </w:rPr>
              <w:t xml:space="preserve">-12.3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05" w:hRule="atLeast"/>
          <w:jc w:val="center"/>
        </w:trPr>
        <w:tc>
          <w:tcPr>
            <w:tcW w:w="3975" w:type="dxa"/>
            <w:tcBorders>
              <w:top w:val="single" w:color="000000" w:sz="8" w:space="0"/>
              <w:bottom w:val="single" w:color="000000" w:sz="8" w:space="0"/>
              <w:right w:val="single" w:color="000000" w:sz="8" w:space="0"/>
            </w:tcBorders>
            <w:shd w:val="clear" w:color="auto" w:fill="FFFFFF"/>
            <w:vAlign w:val="bottom"/>
          </w:tcPr>
          <w:p>
            <w:pPr>
              <w:snapToGrid w:val="0"/>
              <w:jc w:val="left"/>
              <w:rPr>
                <w:rFonts w:ascii="宋体" w:hAnsi="宋体" w:eastAsia="宋体"/>
                <w:color w:val="auto"/>
                <w:kern w:val="0"/>
                <w:sz w:val="22"/>
                <w:highlight w:val="none"/>
              </w:rPr>
            </w:pPr>
            <w:r>
              <w:rPr>
                <w:rFonts w:ascii="宋体" w:hAnsi="宋体" w:eastAsia="宋体"/>
                <w:color w:val="auto"/>
                <w:kern w:val="0"/>
                <w:sz w:val="22"/>
                <w:highlight w:val="none"/>
              </w:rPr>
              <w:t>　＃住宅</w:t>
            </w:r>
          </w:p>
        </w:tc>
        <w:tc>
          <w:tcPr>
            <w:tcW w:w="25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right"/>
              <w:rPr>
                <w:rFonts w:ascii="宋体" w:hAnsi="宋体" w:eastAsia="宋体" w:cs="宋体"/>
                <w:color w:val="auto"/>
                <w:sz w:val="22"/>
                <w:highlight w:val="none"/>
              </w:rPr>
            </w:pPr>
            <w:r>
              <w:rPr>
                <w:rFonts w:hint="eastAsia"/>
                <w:color w:val="auto"/>
                <w:sz w:val="22"/>
                <w:highlight w:val="none"/>
              </w:rPr>
              <w:t xml:space="preserve">2288.01 </w:t>
            </w:r>
          </w:p>
        </w:tc>
        <w:tc>
          <w:tcPr>
            <w:tcW w:w="2535" w:type="dxa"/>
            <w:tcBorders>
              <w:top w:val="single" w:color="000000" w:sz="8" w:space="0"/>
              <w:left w:val="single" w:color="000000" w:sz="8" w:space="0"/>
              <w:bottom w:val="single" w:color="000000" w:sz="8" w:space="0"/>
            </w:tcBorders>
            <w:shd w:val="clear" w:color="auto" w:fill="auto"/>
            <w:vAlign w:val="center"/>
          </w:tcPr>
          <w:p>
            <w:pPr>
              <w:jc w:val="right"/>
              <w:rPr>
                <w:rFonts w:ascii="宋体" w:hAnsi="宋体" w:eastAsia="宋体" w:cs="宋体"/>
                <w:color w:val="auto"/>
                <w:sz w:val="22"/>
                <w:highlight w:val="none"/>
              </w:rPr>
            </w:pPr>
            <w:r>
              <w:rPr>
                <w:rFonts w:hint="eastAsia"/>
                <w:color w:val="auto"/>
                <w:sz w:val="22"/>
                <w:highlight w:val="none"/>
              </w:rPr>
              <w:t xml:space="preserve">-12.6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0" w:hRule="atLeast"/>
          <w:jc w:val="center"/>
        </w:trPr>
        <w:tc>
          <w:tcPr>
            <w:tcW w:w="3975" w:type="dxa"/>
            <w:tcBorders>
              <w:top w:val="single" w:color="000000" w:sz="8" w:space="0"/>
              <w:bottom w:val="single" w:color="000000" w:sz="8" w:space="0"/>
              <w:right w:val="single" w:color="000000" w:sz="8" w:space="0"/>
            </w:tcBorders>
            <w:shd w:val="clear" w:color="auto" w:fill="FFFFFF"/>
            <w:vAlign w:val="bottom"/>
          </w:tcPr>
          <w:p>
            <w:pPr>
              <w:snapToGrid w:val="0"/>
              <w:jc w:val="left"/>
              <w:rPr>
                <w:rFonts w:ascii="宋体" w:hAnsi="宋体" w:eastAsia="宋体"/>
                <w:color w:val="auto"/>
                <w:kern w:val="0"/>
                <w:sz w:val="22"/>
                <w:highlight w:val="none"/>
              </w:rPr>
            </w:pPr>
            <w:r>
              <w:rPr>
                <w:rFonts w:ascii="宋体" w:hAnsi="宋体" w:eastAsia="宋体"/>
                <w:color w:val="auto"/>
                <w:kern w:val="0"/>
                <w:sz w:val="22"/>
                <w:highlight w:val="none"/>
              </w:rPr>
              <w:t xml:space="preserve">    办公楼</w:t>
            </w:r>
          </w:p>
        </w:tc>
        <w:tc>
          <w:tcPr>
            <w:tcW w:w="25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right"/>
              <w:rPr>
                <w:rFonts w:ascii="宋体" w:hAnsi="宋体" w:eastAsia="宋体" w:cs="宋体"/>
                <w:color w:val="auto"/>
                <w:sz w:val="22"/>
                <w:highlight w:val="none"/>
              </w:rPr>
            </w:pPr>
            <w:r>
              <w:rPr>
                <w:rFonts w:hint="eastAsia"/>
                <w:color w:val="auto"/>
                <w:sz w:val="22"/>
                <w:highlight w:val="none"/>
              </w:rPr>
              <w:t xml:space="preserve">175.83 </w:t>
            </w:r>
          </w:p>
        </w:tc>
        <w:tc>
          <w:tcPr>
            <w:tcW w:w="2535" w:type="dxa"/>
            <w:tcBorders>
              <w:top w:val="single" w:color="000000" w:sz="8" w:space="0"/>
              <w:left w:val="single" w:color="000000" w:sz="8" w:space="0"/>
              <w:bottom w:val="single" w:color="000000" w:sz="8" w:space="0"/>
            </w:tcBorders>
            <w:shd w:val="clear" w:color="auto" w:fill="auto"/>
            <w:vAlign w:val="center"/>
          </w:tcPr>
          <w:p>
            <w:pPr>
              <w:jc w:val="right"/>
              <w:rPr>
                <w:rFonts w:ascii="宋体" w:hAnsi="宋体" w:eastAsia="宋体" w:cs="宋体"/>
                <w:color w:val="auto"/>
                <w:sz w:val="22"/>
                <w:highlight w:val="none"/>
              </w:rPr>
            </w:pPr>
            <w:r>
              <w:rPr>
                <w:rFonts w:hint="eastAsia"/>
                <w:color w:val="auto"/>
                <w:sz w:val="22"/>
                <w:highlight w:val="none"/>
              </w:rPr>
              <w:t xml:space="preserve">-31.0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0" w:hRule="atLeast"/>
          <w:jc w:val="center"/>
        </w:trPr>
        <w:tc>
          <w:tcPr>
            <w:tcW w:w="3975" w:type="dxa"/>
            <w:tcBorders>
              <w:top w:val="single" w:color="000000" w:sz="8" w:space="0"/>
              <w:bottom w:val="single" w:color="000000" w:sz="8" w:space="0"/>
              <w:right w:val="single" w:color="000000" w:sz="8" w:space="0"/>
            </w:tcBorders>
            <w:shd w:val="clear" w:color="auto" w:fill="FFFFFF"/>
            <w:vAlign w:val="bottom"/>
          </w:tcPr>
          <w:p>
            <w:pPr>
              <w:snapToGrid w:val="0"/>
              <w:jc w:val="left"/>
              <w:rPr>
                <w:rFonts w:ascii="宋体" w:hAnsi="宋体" w:eastAsia="宋体"/>
                <w:color w:val="auto"/>
                <w:kern w:val="0"/>
                <w:sz w:val="22"/>
                <w:highlight w:val="none"/>
              </w:rPr>
            </w:pPr>
            <w:r>
              <w:rPr>
                <w:rFonts w:ascii="宋体" w:hAnsi="宋体" w:eastAsia="宋体"/>
                <w:color w:val="auto"/>
                <w:kern w:val="0"/>
                <w:sz w:val="22"/>
                <w:highlight w:val="none"/>
              </w:rPr>
              <w:t xml:space="preserve">    商业营业用房</w:t>
            </w:r>
          </w:p>
        </w:tc>
        <w:tc>
          <w:tcPr>
            <w:tcW w:w="25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right"/>
              <w:rPr>
                <w:rFonts w:ascii="宋体" w:hAnsi="宋体" w:eastAsia="宋体" w:cs="宋体"/>
                <w:color w:val="auto"/>
                <w:sz w:val="22"/>
                <w:highlight w:val="none"/>
              </w:rPr>
            </w:pPr>
            <w:r>
              <w:rPr>
                <w:rFonts w:hint="eastAsia"/>
                <w:color w:val="auto"/>
                <w:sz w:val="22"/>
                <w:highlight w:val="none"/>
              </w:rPr>
              <w:t xml:space="preserve">366.79 </w:t>
            </w:r>
          </w:p>
        </w:tc>
        <w:tc>
          <w:tcPr>
            <w:tcW w:w="2535" w:type="dxa"/>
            <w:tcBorders>
              <w:top w:val="single" w:color="000000" w:sz="8" w:space="0"/>
              <w:left w:val="single" w:color="000000" w:sz="8" w:space="0"/>
              <w:bottom w:val="single" w:color="000000" w:sz="8" w:space="0"/>
            </w:tcBorders>
            <w:shd w:val="clear" w:color="auto" w:fill="auto"/>
            <w:vAlign w:val="center"/>
          </w:tcPr>
          <w:p>
            <w:pPr>
              <w:jc w:val="right"/>
              <w:rPr>
                <w:rFonts w:ascii="宋体" w:hAnsi="宋体" w:eastAsia="宋体" w:cs="宋体"/>
                <w:color w:val="auto"/>
                <w:sz w:val="22"/>
                <w:highlight w:val="none"/>
              </w:rPr>
            </w:pPr>
            <w:r>
              <w:rPr>
                <w:rFonts w:hint="eastAsia"/>
                <w:color w:val="auto"/>
                <w:sz w:val="22"/>
                <w:highlight w:val="none"/>
              </w:rPr>
              <w:t xml:space="preserve">-4.6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0" w:hRule="atLeast"/>
          <w:jc w:val="center"/>
        </w:trPr>
        <w:tc>
          <w:tcPr>
            <w:tcW w:w="3975" w:type="dxa"/>
            <w:tcBorders>
              <w:top w:val="single" w:color="000000" w:sz="8" w:space="0"/>
              <w:bottom w:val="single" w:color="000000" w:sz="8" w:space="0"/>
              <w:right w:val="single" w:color="000000" w:sz="8" w:space="0"/>
            </w:tcBorders>
            <w:shd w:val="clear" w:color="auto" w:fill="FFFFFF"/>
            <w:vAlign w:val="bottom"/>
          </w:tcPr>
          <w:p>
            <w:pPr>
              <w:snapToGrid w:val="0"/>
              <w:jc w:val="left"/>
              <w:rPr>
                <w:rFonts w:ascii="宋体" w:hAnsi="宋体" w:eastAsia="宋体"/>
                <w:color w:val="auto"/>
                <w:kern w:val="0"/>
                <w:sz w:val="22"/>
                <w:highlight w:val="none"/>
              </w:rPr>
            </w:pPr>
            <w:r>
              <w:rPr>
                <w:rFonts w:ascii="宋体" w:hAnsi="宋体" w:eastAsia="宋体"/>
                <w:color w:val="auto"/>
                <w:kern w:val="0"/>
                <w:sz w:val="22"/>
                <w:highlight w:val="none"/>
              </w:rPr>
              <w:t xml:space="preserve">  其中：新开工面积</w:t>
            </w:r>
          </w:p>
        </w:tc>
        <w:tc>
          <w:tcPr>
            <w:tcW w:w="25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right"/>
              <w:rPr>
                <w:rFonts w:ascii="宋体" w:hAnsi="宋体" w:eastAsia="宋体" w:cs="宋体"/>
                <w:color w:val="auto"/>
                <w:sz w:val="22"/>
                <w:highlight w:val="none"/>
              </w:rPr>
            </w:pPr>
            <w:r>
              <w:rPr>
                <w:rFonts w:hint="eastAsia"/>
                <w:color w:val="auto"/>
                <w:sz w:val="22"/>
                <w:highlight w:val="none"/>
              </w:rPr>
              <w:t xml:space="preserve">364.62 </w:t>
            </w:r>
          </w:p>
        </w:tc>
        <w:tc>
          <w:tcPr>
            <w:tcW w:w="2535" w:type="dxa"/>
            <w:tcBorders>
              <w:top w:val="single" w:color="000000" w:sz="8" w:space="0"/>
              <w:left w:val="single" w:color="000000" w:sz="8" w:space="0"/>
              <w:bottom w:val="single" w:color="000000" w:sz="8" w:space="0"/>
            </w:tcBorders>
            <w:shd w:val="clear" w:color="auto" w:fill="auto"/>
            <w:vAlign w:val="center"/>
          </w:tcPr>
          <w:p>
            <w:pPr>
              <w:jc w:val="right"/>
              <w:rPr>
                <w:rFonts w:ascii="宋体" w:hAnsi="宋体" w:eastAsia="宋体" w:cs="宋体"/>
                <w:color w:val="auto"/>
                <w:sz w:val="22"/>
                <w:highlight w:val="none"/>
              </w:rPr>
            </w:pPr>
            <w:r>
              <w:rPr>
                <w:rFonts w:hint="eastAsia"/>
                <w:color w:val="auto"/>
                <w:sz w:val="22"/>
                <w:highlight w:val="none"/>
              </w:rPr>
              <w:t xml:space="preserve">-25.3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0" w:hRule="atLeast"/>
          <w:jc w:val="center"/>
        </w:trPr>
        <w:tc>
          <w:tcPr>
            <w:tcW w:w="3975" w:type="dxa"/>
            <w:tcBorders>
              <w:top w:val="single" w:color="000000" w:sz="8" w:space="0"/>
              <w:bottom w:val="single" w:color="000000" w:sz="8" w:space="0"/>
              <w:right w:val="single" w:color="000000" w:sz="8" w:space="0"/>
            </w:tcBorders>
            <w:shd w:val="clear" w:color="auto" w:fill="FFFFFF"/>
            <w:vAlign w:val="bottom"/>
          </w:tcPr>
          <w:p>
            <w:pPr>
              <w:snapToGrid w:val="0"/>
              <w:jc w:val="left"/>
              <w:rPr>
                <w:rFonts w:ascii="宋体" w:hAnsi="宋体" w:eastAsia="宋体"/>
                <w:color w:val="auto"/>
                <w:kern w:val="0"/>
                <w:sz w:val="22"/>
                <w:highlight w:val="none"/>
              </w:rPr>
            </w:pPr>
            <w:r>
              <w:rPr>
                <w:rFonts w:ascii="宋体" w:hAnsi="宋体" w:eastAsia="宋体"/>
                <w:color w:val="auto"/>
                <w:kern w:val="0"/>
                <w:sz w:val="22"/>
                <w:highlight w:val="none"/>
              </w:rPr>
              <w:t xml:space="preserve">    ＃住宅</w:t>
            </w:r>
          </w:p>
        </w:tc>
        <w:tc>
          <w:tcPr>
            <w:tcW w:w="25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right"/>
              <w:rPr>
                <w:rFonts w:ascii="宋体" w:hAnsi="宋体" w:eastAsia="宋体" w:cs="宋体"/>
                <w:color w:val="auto"/>
                <w:sz w:val="22"/>
                <w:highlight w:val="none"/>
              </w:rPr>
            </w:pPr>
            <w:r>
              <w:rPr>
                <w:rFonts w:hint="eastAsia"/>
                <w:color w:val="auto"/>
                <w:sz w:val="22"/>
                <w:highlight w:val="none"/>
              </w:rPr>
              <w:t xml:space="preserve">238.69 </w:t>
            </w:r>
          </w:p>
        </w:tc>
        <w:tc>
          <w:tcPr>
            <w:tcW w:w="2535" w:type="dxa"/>
            <w:tcBorders>
              <w:top w:val="single" w:color="000000" w:sz="8" w:space="0"/>
              <w:left w:val="single" w:color="000000" w:sz="8" w:space="0"/>
              <w:bottom w:val="single" w:color="000000" w:sz="8" w:space="0"/>
            </w:tcBorders>
            <w:shd w:val="clear" w:color="auto" w:fill="auto"/>
            <w:vAlign w:val="center"/>
          </w:tcPr>
          <w:p>
            <w:pPr>
              <w:jc w:val="right"/>
              <w:rPr>
                <w:rFonts w:ascii="宋体" w:hAnsi="宋体" w:eastAsia="宋体" w:cs="宋体"/>
                <w:color w:val="auto"/>
                <w:sz w:val="22"/>
                <w:highlight w:val="none"/>
              </w:rPr>
            </w:pPr>
            <w:r>
              <w:rPr>
                <w:rFonts w:hint="eastAsia"/>
                <w:color w:val="auto"/>
                <w:sz w:val="22"/>
                <w:highlight w:val="none"/>
              </w:rPr>
              <w:t xml:space="preserve">-19.8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0" w:hRule="atLeast"/>
          <w:jc w:val="center"/>
        </w:trPr>
        <w:tc>
          <w:tcPr>
            <w:tcW w:w="3975" w:type="dxa"/>
            <w:tcBorders>
              <w:top w:val="single" w:color="000000" w:sz="8" w:space="0"/>
              <w:bottom w:val="single" w:color="000000" w:sz="8" w:space="0"/>
              <w:right w:val="single" w:color="000000" w:sz="8" w:space="0"/>
            </w:tcBorders>
            <w:shd w:val="clear" w:color="auto" w:fill="FFFFFF"/>
            <w:vAlign w:val="bottom"/>
          </w:tcPr>
          <w:p>
            <w:pPr>
              <w:snapToGrid w:val="0"/>
              <w:jc w:val="left"/>
              <w:rPr>
                <w:rFonts w:ascii="宋体" w:hAnsi="宋体" w:eastAsia="宋体"/>
                <w:color w:val="auto"/>
                <w:kern w:val="0"/>
                <w:sz w:val="22"/>
                <w:highlight w:val="none"/>
              </w:rPr>
            </w:pPr>
            <w:r>
              <w:rPr>
                <w:rFonts w:ascii="宋体" w:hAnsi="宋体" w:eastAsia="宋体"/>
                <w:color w:val="auto"/>
                <w:kern w:val="0"/>
                <w:sz w:val="22"/>
                <w:highlight w:val="none"/>
              </w:rPr>
              <w:t xml:space="preserve">      办公楼</w:t>
            </w:r>
          </w:p>
        </w:tc>
        <w:tc>
          <w:tcPr>
            <w:tcW w:w="25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right"/>
              <w:rPr>
                <w:rFonts w:ascii="宋体" w:hAnsi="宋体" w:eastAsia="宋体" w:cs="宋体"/>
                <w:color w:val="auto"/>
                <w:sz w:val="22"/>
                <w:highlight w:val="none"/>
              </w:rPr>
            </w:pPr>
            <w:r>
              <w:rPr>
                <w:rFonts w:hint="eastAsia"/>
                <w:color w:val="auto"/>
                <w:sz w:val="22"/>
                <w:highlight w:val="none"/>
              </w:rPr>
              <w:t xml:space="preserve">15.24 </w:t>
            </w:r>
          </w:p>
        </w:tc>
        <w:tc>
          <w:tcPr>
            <w:tcW w:w="2535" w:type="dxa"/>
            <w:tcBorders>
              <w:top w:val="single" w:color="000000" w:sz="8" w:space="0"/>
              <w:left w:val="single" w:color="000000" w:sz="8" w:space="0"/>
              <w:bottom w:val="single" w:color="000000" w:sz="8" w:space="0"/>
            </w:tcBorders>
            <w:shd w:val="clear" w:color="auto" w:fill="auto"/>
            <w:vAlign w:val="center"/>
          </w:tcPr>
          <w:p>
            <w:pPr>
              <w:jc w:val="right"/>
              <w:rPr>
                <w:rFonts w:ascii="宋体" w:hAnsi="宋体" w:eastAsia="宋体" w:cs="宋体"/>
                <w:color w:val="auto"/>
                <w:sz w:val="22"/>
                <w:highlight w:val="none"/>
              </w:rPr>
            </w:pPr>
            <w:r>
              <w:rPr>
                <w:rFonts w:hint="eastAsia"/>
                <w:color w:val="auto"/>
                <w:sz w:val="22"/>
                <w:highlight w:val="none"/>
              </w:rPr>
              <w:t xml:space="preserve">-60.0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0" w:hRule="atLeast"/>
          <w:jc w:val="center"/>
        </w:trPr>
        <w:tc>
          <w:tcPr>
            <w:tcW w:w="3975" w:type="dxa"/>
            <w:tcBorders>
              <w:top w:val="single" w:color="000000" w:sz="8" w:space="0"/>
              <w:bottom w:val="single" w:color="000000" w:sz="8" w:space="0"/>
              <w:right w:val="single" w:color="000000" w:sz="8" w:space="0"/>
            </w:tcBorders>
            <w:shd w:val="clear" w:color="auto" w:fill="FFFFFF"/>
            <w:vAlign w:val="bottom"/>
          </w:tcPr>
          <w:p>
            <w:pPr>
              <w:snapToGrid w:val="0"/>
              <w:jc w:val="left"/>
              <w:rPr>
                <w:rFonts w:ascii="宋体" w:hAnsi="宋体" w:eastAsia="宋体"/>
                <w:color w:val="auto"/>
                <w:kern w:val="0"/>
                <w:sz w:val="22"/>
                <w:highlight w:val="none"/>
              </w:rPr>
            </w:pPr>
            <w:r>
              <w:rPr>
                <w:rFonts w:ascii="宋体" w:hAnsi="宋体" w:eastAsia="宋体"/>
                <w:color w:val="auto"/>
                <w:kern w:val="0"/>
                <w:sz w:val="22"/>
                <w:highlight w:val="none"/>
              </w:rPr>
              <w:t xml:space="preserve">      商业营业用房</w:t>
            </w:r>
          </w:p>
        </w:tc>
        <w:tc>
          <w:tcPr>
            <w:tcW w:w="25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right"/>
              <w:rPr>
                <w:rFonts w:ascii="宋体" w:hAnsi="宋体" w:eastAsia="宋体" w:cs="宋体"/>
                <w:color w:val="auto"/>
                <w:sz w:val="22"/>
                <w:highlight w:val="none"/>
              </w:rPr>
            </w:pPr>
            <w:r>
              <w:rPr>
                <w:rFonts w:hint="eastAsia"/>
                <w:color w:val="auto"/>
                <w:sz w:val="22"/>
                <w:highlight w:val="none"/>
              </w:rPr>
              <w:t xml:space="preserve">27.46 </w:t>
            </w:r>
          </w:p>
        </w:tc>
        <w:tc>
          <w:tcPr>
            <w:tcW w:w="2535" w:type="dxa"/>
            <w:tcBorders>
              <w:top w:val="single" w:color="000000" w:sz="8" w:space="0"/>
              <w:left w:val="single" w:color="000000" w:sz="8" w:space="0"/>
              <w:bottom w:val="single" w:color="000000" w:sz="8" w:space="0"/>
            </w:tcBorders>
            <w:shd w:val="clear" w:color="auto" w:fill="auto"/>
            <w:vAlign w:val="center"/>
          </w:tcPr>
          <w:p>
            <w:pPr>
              <w:jc w:val="right"/>
              <w:rPr>
                <w:rFonts w:ascii="宋体" w:hAnsi="宋体" w:eastAsia="宋体" w:cs="宋体"/>
                <w:color w:val="auto"/>
                <w:sz w:val="22"/>
                <w:highlight w:val="none"/>
              </w:rPr>
            </w:pPr>
            <w:r>
              <w:rPr>
                <w:rFonts w:hint="eastAsia"/>
                <w:color w:val="auto"/>
                <w:sz w:val="22"/>
                <w:highlight w:val="none"/>
              </w:rPr>
              <w:t xml:space="preserve">-35.2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0" w:hRule="atLeast"/>
          <w:jc w:val="center"/>
        </w:trPr>
        <w:tc>
          <w:tcPr>
            <w:tcW w:w="3975" w:type="dxa"/>
            <w:tcBorders>
              <w:top w:val="single" w:color="000000" w:sz="8" w:space="0"/>
              <w:bottom w:val="single" w:color="000000" w:sz="8" w:space="0"/>
              <w:right w:val="single" w:color="000000" w:sz="8" w:space="0"/>
            </w:tcBorders>
            <w:shd w:val="clear" w:color="auto" w:fill="FFFFFF"/>
            <w:vAlign w:val="bottom"/>
          </w:tcPr>
          <w:p>
            <w:pPr>
              <w:snapToGrid w:val="0"/>
              <w:jc w:val="left"/>
              <w:rPr>
                <w:rFonts w:ascii="宋体" w:hAnsi="宋体" w:eastAsia="宋体"/>
                <w:color w:val="auto"/>
                <w:kern w:val="0"/>
                <w:sz w:val="22"/>
                <w:highlight w:val="none"/>
              </w:rPr>
            </w:pPr>
            <w:r>
              <w:rPr>
                <w:rFonts w:ascii="宋体" w:hAnsi="宋体" w:eastAsia="宋体"/>
                <w:color w:val="auto"/>
                <w:kern w:val="0"/>
                <w:sz w:val="22"/>
                <w:highlight w:val="none"/>
              </w:rPr>
              <w:t>竣工面积（万平方米）</w:t>
            </w:r>
          </w:p>
        </w:tc>
        <w:tc>
          <w:tcPr>
            <w:tcW w:w="25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right"/>
              <w:rPr>
                <w:rFonts w:ascii="宋体" w:hAnsi="宋体" w:eastAsia="宋体" w:cs="宋体"/>
                <w:color w:val="auto"/>
                <w:sz w:val="22"/>
                <w:highlight w:val="none"/>
              </w:rPr>
            </w:pPr>
            <w:r>
              <w:rPr>
                <w:rFonts w:hint="eastAsia"/>
                <w:color w:val="auto"/>
                <w:sz w:val="22"/>
                <w:highlight w:val="none"/>
              </w:rPr>
              <w:t xml:space="preserve">341.60 </w:t>
            </w:r>
          </w:p>
        </w:tc>
        <w:tc>
          <w:tcPr>
            <w:tcW w:w="2535" w:type="dxa"/>
            <w:tcBorders>
              <w:top w:val="single" w:color="000000" w:sz="8" w:space="0"/>
              <w:left w:val="single" w:color="000000" w:sz="8" w:space="0"/>
              <w:bottom w:val="single" w:color="000000" w:sz="8" w:space="0"/>
            </w:tcBorders>
            <w:shd w:val="clear" w:color="auto" w:fill="auto"/>
            <w:vAlign w:val="center"/>
          </w:tcPr>
          <w:p>
            <w:pPr>
              <w:jc w:val="right"/>
              <w:rPr>
                <w:rFonts w:ascii="宋体" w:hAnsi="宋体" w:eastAsia="宋体" w:cs="宋体"/>
                <w:color w:val="auto"/>
                <w:sz w:val="22"/>
                <w:highlight w:val="none"/>
              </w:rPr>
            </w:pPr>
            <w:r>
              <w:rPr>
                <w:rFonts w:hint="eastAsia"/>
                <w:color w:val="auto"/>
                <w:sz w:val="22"/>
                <w:highlight w:val="none"/>
              </w:rPr>
              <w:t xml:space="preserve">-44.8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0" w:hRule="atLeast"/>
          <w:jc w:val="center"/>
        </w:trPr>
        <w:tc>
          <w:tcPr>
            <w:tcW w:w="3975" w:type="dxa"/>
            <w:tcBorders>
              <w:top w:val="single" w:color="000000" w:sz="8" w:space="0"/>
              <w:bottom w:val="single" w:color="000000" w:sz="8" w:space="0"/>
              <w:right w:val="single" w:color="000000" w:sz="8" w:space="0"/>
            </w:tcBorders>
            <w:shd w:val="clear" w:color="auto" w:fill="FFFFFF"/>
            <w:vAlign w:val="bottom"/>
          </w:tcPr>
          <w:p>
            <w:pPr>
              <w:snapToGrid w:val="0"/>
              <w:jc w:val="left"/>
              <w:rPr>
                <w:rFonts w:ascii="宋体" w:hAnsi="宋体" w:eastAsia="宋体"/>
                <w:color w:val="auto"/>
                <w:kern w:val="0"/>
                <w:sz w:val="22"/>
                <w:highlight w:val="none"/>
              </w:rPr>
            </w:pPr>
            <w:r>
              <w:rPr>
                <w:rFonts w:ascii="宋体" w:hAnsi="宋体" w:eastAsia="宋体"/>
                <w:color w:val="auto"/>
                <w:kern w:val="0"/>
                <w:sz w:val="22"/>
                <w:highlight w:val="none"/>
              </w:rPr>
              <w:t>　＃住宅</w:t>
            </w:r>
          </w:p>
        </w:tc>
        <w:tc>
          <w:tcPr>
            <w:tcW w:w="25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right"/>
              <w:rPr>
                <w:rFonts w:ascii="宋体" w:hAnsi="宋体" w:eastAsia="宋体" w:cs="宋体"/>
                <w:color w:val="auto"/>
                <w:sz w:val="22"/>
                <w:highlight w:val="none"/>
              </w:rPr>
            </w:pPr>
            <w:r>
              <w:rPr>
                <w:rFonts w:hint="eastAsia"/>
                <w:color w:val="auto"/>
                <w:sz w:val="22"/>
                <w:highlight w:val="none"/>
              </w:rPr>
              <w:t xml:space="preserve">226.02 </w:t>
            </w:r>
          </w:p>
        </w:tc>
        <w:tc>
          <w:tcPr>
            <w:tcW w:w="2535" w:type="dxa"/>
            <w:tcBorders>
              <w:top w:val="single" w:color="000000" w:sz="8" w:space="0"/>
              <w:left w:val="single" w:color="000000" w:sz="8" w:space="0"/>
              <w:bottom w:val="single" w:color="000000" w:sz="8" w:space="0"/>
            </w:tcBorders>
            <w:shd w:val="clear" w:color="auto" w:fill="auto"/>
            <w:vAlign w:val="center"/>
          </w:tcPr>
          <w:p>
            <w:pPr>
              <w:jc w:val="right"/>
              <w:rPr>
                <w:rFonts w:ascii="宋体" w:hAnsi="宋体" w:eastAsia="宋体" w:cs="宋体"/>
                <w:color w:val="auto"/>
                <w:sz w:val="22"/>
                <w:highlight w:val="none"/>
              </w:rPr>
            </w:pPr>
            <w:r>
              <w:rPr>
                <w:rFonts w:hint="eastAsia"/>
                <w:color w:val="auto"/>
                <w:sz w:val="22"/>
                <w:highlight w:val="none"/>
              </w:rPr>
              <w:t xml:space="preserve">-38.1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0" w:hRule="atLeast"/>
          <w:jc w:val="center"/>
        </w:trPr>
        <w:tc>
          <w:tcPr>
            <w:tcW w:w="3975" w:type="dxa"/>
            <w:tcBorders>
              <w:top w:val="single" w:color="000000" w:sz="8" w:space="0"/>
              <w:bottom w:val="single" w:color="000000" w:sz="8" w:space="0"/>
              <w:right w:val="single" w:color="000000" w:sz="8" w:space="0"/>
            </w:tcBorders>
            <w:shd w:val="clear" w:color="auto" w:fill="FFFFFF"/>
            <w:vAlign w:val="bottom"/>
          </w:tcPr>
          <w:p>
            <w:pPr>
              <w:snapToGrid w:val="0"/>
              <w:jc w:val="left"/>
              <w:rPr>
                <w:rFonts w:ascii="宋体" w:hAnsi="宋体" w:eastAsia="宋体"/>
                <w:color w:val="auto"/>
                <w:kern w:val="0"/>
                <w:sz w:val="22"/>
                <w:highlight w:val="none"/>
              </w:rPr>
            </w:pPr>
            <w:r>
              <w:rPr>
                <w:rFonts w:ascii="宋体" w:hAnsi="宋体" w:eastAsia="宋体"/>
                <w:color w:val="auto"/>
                <w:kern w:val="0"/>
                <w:sz w:val="22"/>
                <w:highlight w:val="none"/>
              </w:rPr>
              <w:t xml:space="preserve">    办公楼</w:t>
            </w:r>
          </w:p>
        </w:tc>
        <w:tc>
          <w:tcPr>
            <w:tcW w:w="25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right"/>
              <w:rPr>
                <w:rFonts w:ascii="宋体" w:hAnsi="宋体" w:eastAsia="宋体" w:cs="宋体"/>
                <w:color w:val="auto"/>
                <w:sz w:val="22"/>
                <w:highlight w:val="none"/>
              </w:rPr>
            </w:pPr>
            <w:r>
              <w:rPr>
                <w:rFonts w:hint="eastAsia"/>
                <w:color w:val="auto"/>
                <w:sz w:val="22"/>
                <w:highlight w:val="none"/>
              </w:rPr>
              <w:t xml:space="preserve">10.86 </w:t>
            </w:r>
          </w:p>
        </w:tc>
        <w:tc>
          <w:tcPr>
            <w:tcW w:w="2535" w:type="dxa"/>
            <w:tcBorders>
              <w:top w:val="single" w:color="000000" w:sz="8" w:space="0"/>
              <w:left w:val="single" w:color="000000" w:sz="8" w:space="0"/>
              <w:bottom w:val="single" w:color="000000" w:sz="8" w:space="0"/>
            </w:tcBorders>
            <w:shd w:val="clear" w:color="auto" w:fill="auto"/>
            <w:vAlign w:val="center"/>
          </w:tcPr>
          <w:p>
            <w:pPr>
              <w:jc w:val="right"/>
              <w:rPr>
                <w:rFonts w:ascii="宋体" w:hAnsi="宋体" w:eastAsia="宋体" w:cs="宋体"/>
                <w:color w:val="auto"/>
                <w:sz w:val="22"/>
                <w:highlight w:val="none"/>
              </w:rPr>
            </w:pPr>
            <w:r>
              <w:rPr>
                <w:rFonts w:hint="eastAsia"/>
                <w:color w:val="auto"/>
                <w:sz w:val="22"/>
                <w:highlight w:val="none"/>
              </w:rPr>
              <w:t xml:space="preserve">-81.4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0" w:hRule="atLeast"/>
          <w:jc w:val="center"/>
        </w:trPr>
        <w:tc>
          <w:tcPr>
            <w:tcW w:w="3975" w:type="dxa"/>
            <w:tcBorders>
              <w:top w:val="single" w:color="000000" w:sz="8" w:space="0"/>
              <w:bottom w:val="single" w:color="000000" w:sz="8" w:space="0"/>
              <w:right w:val="single" w:color="000000" w:sz="8" w:space="0"/>
            </w:tcBorders>
            <w:shd w:val="clear" w:color="auto" w:fill="FFFFFF"/>
            <w:vAlign w:val="bottom"/>
          </w:tcPr>
          <w:p>
            <w:pPr>
              <w:snapToGrid w:val="0"/>
              <w:jc w:val="left"/>
              <w:rPr>
                <w:rFonts w:ascii="宋体" w:hAnsi="宋体" w:eastAsia="宋体"/>
                <w:color w:val="auto"/>
                <w:kern w:val="0"/>
                <w:sz w:val="22"/>
                <w:highlight w:val="none"/>
              </w:rPr>
            </w:pPr>
            <w:r>
              <w:rPr>
                <w:rFonts w:ascii="宋体" w:hAnsi="宋体" w:eastAsia="宋体"/>
                <w:color w:val="auto"/>
                <w:kern w:val="0"/>
                <w:sz w:val="22"/>
                <w:highlight w:val="none"/>
              </w:rPr>
              <w:t xml:space="preserve">    商业营业用房</w:t>
            </w:r>
          </w:p>
        </w:tc>
        <w:tc>
          <w:tcPr>
            <w:tcW w:w="25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right"/>
              <w:rPr>
                <w:rFonts w:ascii="宋体" w:hAnsi="宋体" w:eastAsia="宋体" w:cs="宋体"/>
                <w:color w:val="auto"/>
                <w:sz w:val="22"/>
                <w:highlight w:val="none"/>
              </w:rPr>
            </w:pPr>
            <w:r>
              <w:rPr>
                <w:rFonts w:hint="eastAsia"/>
                <w:color w:val="auto"/>
                <w:sz w:val="22"/>
                <w:highlight w:val="none"/>
              </w:rPr>
              <w:t xml:space="preserve">9.79 </w:t>
            </w:r>
          </w:p>
        </w:tc>
        <w:tc>
          <w:tcPr>
            <w:tcW w:w="2535" w:type="dxa"/>
            <w:tcBorders>
              <w:top w:val="single" w:color="000000" w:sz="8" w:space="0"/>
              <w:left w:val="single" w:color="000000" w:sz="8" w:space="0"/>
              <w:bottom w:val="single" w:color="000000" w:sz="8" w:space="0"/>
            </w:tcBorders>
            <w:shd w:val="clear" w:color="auto" w:fill="auto"/>
            <w:vAlign w:val="center"/>
          </w:tcPr>
          <w:p>
            <w:pPr>
              <w:jc w:val="right"/>
              <w:rPr>
                <w:rFonts w:ascii="宋体" w:hAnsi="宋体" w:eastAsia="宋体" w:cs="宋体"/>
                <w:color w:val="auto"/>
                <w:sz w:val="22"/>
                <w:highlight w:val="none"/>
              </w:rPr>
            </w:pPr>
            <w:r>
              <w:rPr>
                <w:rFonts w:hint="eastAsia"/>
                <w:color w:val="auto"/>
                <w:sz w:val="22"/>
                <w:highlight w:val="none"/>
              </w:rPr>
              <w:t xml:space="preserve">-82.0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0" w:hRule="atLeast"/>
          <w:jc w:val="center"/>
        </w:trPr>
        <w:tc>
          <w:tcPr>
            <w:tcW w:w="3975" w:type="dxa"/>
            <w:tcBorders>
              <w:top w:val="single" w:color="000000" w:sz="8" w:space="0"/>
              <w:bottom w:val="single" w:color="000000" w:sz="8" w:space="0"/>
              <w:right w:val="single" w:color="000000" w:sz="8" w:space="0"/>
            </w:tcBorders>
            <w:shd w:val="clear" w:color="auto" w:fill="FFFFFF"/>
            <w:vAlign w:val="bottom"/>
          </w:tcPr>
          <w:p>
            <w:pPr>
              <w:snapToGrid w:val="0"/>
              <w:jc w:val="left"/>
              <w:rPr>
                <w:rFonts w:ascii="宋体" w:hAnsi="宋体" w:eastAsia="宋体"/>
                <w:color w:val="auto"/>
                <w:kern w:val="0"/>
                <w:sz w:val="22"/>
                <w:highlight w:val="none"/>
              </w:rPr>
            </w:pPr>
            <w:r>
              <w:rPr>
                <w:rFonts w:ascii="宋体" w:hAnsi="宋体" w:eastAsia="宋体"/>
                <w:color w:val="auto"/>
                <w:kern w:val="0"/>
                <w:sz w:val="22"/>
                <w:highlight w:val="none"/>
              </w:rPr>
              <w:t>销售面积（万平方米）</w:t>
            </w:r>
          </w:p>
        </w:tc>
        <w:tc>
          <w:tcPr>
            <w:tcW w:w="25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right"/>
              <w:rPr>
                <w:rFonts w:ascii="宋体" w:hAnsi="宋体" w:eastAsia="宋体" w:cs="宋体"/>
                <w:color w:val="auto"/>
                <w:sz w:val="22"/>
                <w:highlight w:val="none"/>
              </w:rPr>
            </w:pPr>
            <w:r>
              <w:rPr>
                <w:rFonts w:hint="eastAsia"/>
                <w:color w:val="auto"/>
                <w:sz w:val="22"/>
                <w:highlight w:val="none"/>
              </w:rPr>
              <w:t xml:space="preserve">416.52 </w:t>
            </w:r>
          </w:p>
        </w:tc>
        <w:tc>
          <w:tcPr>
            <w:tcW w:w="2535" w:type="dxa"/>
            <w:tcBorders>
              <w:top w:val="single" w:color="000000" w:sz="8" w:space="0"/>
              <w:left w:val="single" w:color="000000" w:sz="8" w:space="0"/>
              <w:bottom w:val="single" w:color="000000" w:sz="8" w:space="0"/>
            </w:tcBorders>
            <w:shd w:val="clear" w:color="auto" w:fill="auto"/>
            <w:vAlign w:val="center"/>
          </w:tcPr>
          <w:p>
            <w:pPr>
              <w:jc w:val="right"/>
              <w:rPr>
                <w:rFonts w:ascii="宋体" w:hAnsi="宋体" w:eastAsia="宋体" w:cs="宋体"/>
                <w:color w:val="auto"/>
                <w:sz w:val="22"/>
                <w:highlight w:val="none"/>
              </w:rPr>
            </w:pPr>
            <w:r>
              <w:rPr>
                <w:rFonts w:hint="eastAsia"/>
                <w:color w:val="auto"/>
                <w:sz w:val="22"/>
                <w:highlight w:val="none"/>
              </w:rPr>
              <w:t xml:space="preserve">-44.8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0" w:hRule="atLeast"/>
          <w:jc w:val="center"/>
        </w:trPr>
        <w:tc>
          <w:tcPr>
            <w:tcW w:w="3975" w:type="dxa"/>
            <w:tcBorders>
              <w:top w:val="single" w:color="000000" w:sz="8" w:space="0"/>
              <w:bottom w:val="single" w:color="000000" w:sz="8" w:space="0"/>
              <w:right w:val="single" w:color="000000" w:sz="8" w:space="0"/>
            </w:tcBorders>
            <w:shd w:val="clear" w:color="auto" w:fill="FFFFFF"/>
            <w:vAlign w:val="bottom"/>
          </w:tcPr>
          <w:p>
            <w:pPr>
              <w:snapToGrid w:val="0"/>
              <w:jc w:val="left"/>
              <w:rPr>
                <w:rFonts w:ascii="宋体" w:hAnsi="宋体" w:eastAsia="宋体"/>
                <w:color w:val="auto"/>
                <w:kern w:val="0"/>
                <w:sz w:val="22"/>
                <w:highlight w:val="none"/>
              </w:rPr>
            </w:pPr>
            <w:r>
              <w:rPr>
                <w:rFonts w:ascii="宋体" w:hAnsi="宋体" w:eastAsia="宋体"/>
                <w:color w:val="auto"/>
                <w:kern w:val="0"/>
                <w:sz w:val="22"/>
                <w:highlight w:val="none"/>
              </w:rPr>
              <w:t>　＃住宅</w:t>
            </w:r>
          </w:p>
        </w:tc>
        <w:tc>
          <w:tcPr>
            <w:tcW w:w="25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right"/>
              <w:rPr>
                <w:rFonts w:ascii="宋体" w:hAnsi="宋体" w:eastAsia="宋体" w:cs="宋体"/>
                <w:color w:val="auto"/>
                <w:sz w:val="22"/>
                <w:highlight w:val="none"/>
              </w:rPr>
            </w:pPr>
            <w:r>
              <w:rPr>
                <w:rFonts w:hint="eastAsia"/>
                <w:color w:val="auto"/>
                <w:sz w:val="22"/>
                <w:highlight w:val="none"/>
              </w:rPr>
              <w:t xml:space="preserve">184.39 </w:t>
            </w:r>
          </w:p>
        </w:tc>
        <w:tc>
          <w:tcPr>
            <w:tcW w:w="2535" w:type="dxa"/>
            <w:tcBorders>
              <w:top w:val="single" w:color="000000" w:sz="8" w:space="0"/>
              <w:left w:val="single" w:color="000000" w:sz="8" w:space="0"/>
              <w:bottom w:val="single" w:color="000000" w:sz="8" w:space="0"/>
            </w:tcBorders>
            <w:shd w:val="clear" w:color="auto" w:fill="auto"/>
            <w:vAlign w:val="center"/>
          </w:tcPr>
          <w:p>
            <w:pPr>
              <w:jc w:val="right"/>
              <w:rPr>
                <w:rFonts w:ascii="宋体" w:hAnsi="宋体" w:eastAsia="宋体" w:cs="宋体"/>
                <w:color w:val="auto"/>
                <w:sz w:val="22"/>
                <w:highlight w:val="none"/>
              </w:rPr>
            </w:pPr>
            <w:r>
              <w:rPr>
                <w:rFonts w:hint="eastAsia"/>
                <w:color w:val="auto"/>
                <w:sz w:val="22"/>
                <w:highlight w:val="none"/>
              </w:rPr>
              <w:t xml:space="preserve">-71.9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0" w:hRule="atLeast"/>
          <w:jc w:val="center"/>
        </w:trPr>
        <w:tc>
          <w:tcPr>
            <w:tcW w:w="3975" w:type="dxa"/>
            <w:tcBorders>
              <w:top w:val="single" w:color="000000" w:sz="8" w:space="0"/>
              <w:bottom w:val="single" w:color="000000" w:sz="8" w:space="0"/>
              <w:right w:val="single" w:color="000000" w:sz="8" w:space="0"/>
            </w:tcBorders>
            <w:shd w:val="clear" w:color="auto" w:fill="FFFFFF"/>
            <w:vAlign w:val="bottom"/>
          </w:tcPr>
          <w:p>
            <w:pPr>
              <w:snapToGrid w:val="0"/>
              <w:jc w:val="left"/>
              <w:rPr>
                <w:rFonts w:ascii="宋体" w:hAnsi="宋体" w:eastAsia="宋体"/>
                <w:color w:val="auto"/>
                <w:kern w:val="0"/>
                <w:sz w:val="22"/>
                <w:highlight w:val="none"/>
              </w:rPr>
            </w:pPr>
            <w:r>
              <w:rPr>
                <w:rFonts w:ascii="宋体" w:hAnsi="宋体" w:eastAsia="宋体"/>
                <w:color w:val="auto"/>
                <w:kern w:val="0"/>
                <w:sz w:val="22"/>
                <w:highlight w:val="none"/>
              </w:rPr>
              <w:t xml:space="preserve">    办公楼</w:t>
            </w:r>
          </w:p>
        </w:tc>
        <w:tc>
          <w:tcPr>
            <w:tcW w:w="25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right"/>
              <w:rPr>
                <w:rFonts w:ascii="宋体" w:hAnsi="宋体" w:eastAsia="宋体" w:cs="宋体"/>
                <w:color w:val="auto"/>
                <w:sz w:val="22"/>
                <w:highlight w:val="none"/>
              </w:rPr>
            </w:pPr>
            <w:r>
              <w:rPr>
                <w:rFonts w:hint="eastAsia"/>
                <w:color w:val="auto"/>
                <w:sz w:val="22"/>
                <w:highlight w:val="none"/>
              </w:rPr>
              <w:t xml:space="preserve">41.83 </w:t>
            </w:r>
          </w:p>
        </w:tc>
        <w:tc>
          <w:tcPr>
            <w:tcW w:w="2535" w:type="dxa"/>
            <w:tcBorders>
              <w:top w:val="single" w:color="000000" w:sz="8" w:space="0"/>
              <w:left w:val="single" w:color="000000" w:sz="8" w:space="0"/>
              <w:bottom w:val="single" w:color="000000" w:sz="8" w:space="0"/>
            </w:tcBorders>
            <w:shd w:val="clear" w:color="auto" w:fill="auto"/>
            <w:vAlign w:val="center"/>
          </w:tcPr>
          <w:p>
            <w:pPr>
              <w:jc w:val="right"/>
              <w:rPr>
                <w:rFonts w:ascii="宋体" w:hAnsi="宋体" w:eastAsia="宋体" w:cs="宋体"/>
                <w:color w:val="auto"/>
                <w:sz w:val="22"/>
                <w:highlight w:val="none"/>
              </w:rPr>
            </w:pPr>
            <w:r>
              <w:rPr>
                <w:rFonts w:hint="eastAsia"/>
                <w:color w:val="auto"/>
                <w:sz w:val="22"/>
                <w:highlight w:val="none"/>
              </w:rPr>
              <w:t xml:space="preserve">406.4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0" w:hRule="atLeast"/>
          <w:jc w:val="center"/>
        </w:trPr>
        <w:tc>
          <w:tcPr>
            <w:tcW w:w="3975" w:type="dxa"/>
            <w:tcBorders>
              <w:top w:val="single" w:color="000000" w:sz="8" w:space="0"/>
              <w:bottom w:val="single" w:color="000000" w:sz="8" w:space="0"/>
              <w:right w:val="single" w:color="000000" w:sz="8" w:space="0"/>
            </w:tcBorders>
            <w:shd w:val="clear" w:color="auto" w:fill="FFFFFF"/>
            <w:vAlign w:val="bottom"/>
          </w:tcPr>
          <w:p>
            <w:pPr>
              <w:snapToGrid w:val="0"/>
              <w:jc w:val="left"/>
              <w:rPr>
                <w:rFonts w:ascii="宋体" w:hAnsi="宋体" w:eastAsia="宋体"/>
                <w:color w:val="auto"/>
                <w:kern w:val="0"/>
                <w:sz w:val="22"/>
                <w:highlight w:val="none"/>
              </w:rPr>
            </w:pPr>
            <w:r>
              <w:rPr>
                <w:rFonts w:ascii="宋体" w:hAnsi="宋体" w:eastAsia="宋体"/>
                <w:color w:val="auto"/>
                <w:kern w:val="0"/>
                <w:sz w:val="22"/>
                <w:highlight w:val="none"/>
              </w:rPr>
              <w:t xml:space="preserve">    商业营业用房</w:t>
            </w:r>
          </w:p>
        </w:tc>
        <w:tc>
          <w:tcPr>
            <w:tcW w:w="25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right"/>
              <w:rPr>
                <w:rFonts w:ascii="宋体" w:hAnsi="宋体" w:eastAsia="宋体" w:cs="宋体"/>
                <w:color w:val="auto"/>
                <w:sz w:val="22"/>
                <w:highlight w:val="none"/>
              </w:rPr>
            </w:pPr>
            <w:r>
              <w:rPr>
                <w:rFonts w:hint="eastAsia"/>
                <w:color w:val="auto"/>
                <w:sz w:val="22"/>
                <w:highlight w:val="none"/>
              </w:rPr>
              <w:t xml:space="preserve">47.79 </w:t>
            </w:r>
          </w:p>
        </w:tc>
        <w:tc>
          <w:tcPr>
            <w:tcW w:w="2535" w:type="dxa"/>
            <w:tcBorders>
              <w:top w:val="single" w:color="000000" w:sz="8" w:space="0"/>
              <w:left w:val="single" w:color="000000" w:sz="8" w:space="0"/>
              <w:bottom w:val="single" w:color="000000" w:sz="8" w:space="0"/>
            </w:tcBorders>
            <w:shd w:val="clear" w:color="auto" w:fill="auto"/>
            <w:vAlign w:val="center"/>
          </w:tcPr>
          <w:p>
            <w:pPr>
              <w:jc w:val="right"/>
              <w:rPr>
                <w:rFonts w:ascii="宋体" w:hAnsi="宋体" w:eastAsia="宋体" w:cs="宋体"/>
                <w:color w:val="auto"/>
                <w:sz w:val="22"/>
                <w:highlight w:val="none"/>
              </w:rPr>
            </w:pPr>
            <w:r>
              <w:rPr>
                <w:rFonts w:hint="eastAsia"/>
                <w:color w:val="auto"/>
                <w:sz w:val="22"/>
                <w:highlight w:val="none"/>
              </w:rPr>
              <w:t xml:space="preserve">98.8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0" w:hRule="atLeast"/>
          <w:jc w:val="center"/>
        </w:trPr>
        <w:tc>
          <w:tcPr>
            <w:tcW w:w="3975" w:type="dxa"/>
            <w:tcBorders>
              <w:top w:val="single" w:color="000000" w:sz="8" w:space="0"/>
              <w:bottom w:val="single" w:color="000000" w:sz="8" w:space="0"/>
              <w:right w:val="single" w:color="000000" w:sz="8" w:space="0"/>
            </w:tcBorders>
            <w:shd w:val="clear" w:color="auto" w:fill="FFFFFF"/>
            <w:vAlign w:val="bottom"/>
          </w:tcPr>
          <w:p>
            <w:pPr>
              <w:snapToGrid w:val="0"/>
              <w:jc w:val="left"/>
              <w:rPr>
                <w:rFonts w:ascii="宋体" w:hAnsi="宋体" w:eastAsia="宋体"/>
                <w:color w:val="auto"/>
                <w:kern w:val="0"/>
                <w:sz w:val="22"/>
                <w:highlight w:val="none"/>
              </w:rPr>
            </w:pPr>
            <w:r>
              <w:rPr>
                <w:rFonts w:ascii="宋体" w:hAnsi="宋体" w:eastAsia="宋体"/>
                <w:color w:val="auto"/>
                <w:kern w:val="0"/>
                <w:sz w:val="22"/>
                <w:highlight w:val="none"/>
              </w:rPr>
              <w:t>销售额（亿元）</w:t>
            </w:r>
          </w:p>
        </w:tc>
        <w:tc>
          <w:tcPr>
            <w:tcW w:w="25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right"/>
              <w:rPr>
                <w:rFonts w:ascii="宋体" w:hAnsi="宋体" w:eastAsia="宋体" w:cs="宋体"/>
                <w:color w:val="auto"/>
                <w:sz w:val="22"/>
                <w:highlight w:val="none"/>
              </w:rPr>
            </w:pPr>
            <w:r>
              <w:rPr>
                <w:rFonts w:hint="eastAsia"/>
                <w:color w:val="auto"/>
                <w:sz w:val="22"/>
                <w:highlight w:val="none"/>
              </w:rPr>
              <w:t xml:space="preserve">371.56 </w:t>
            </w:r>
          </w:p>
        </w:tc>
        <w:tc>
          <w:tcPr>
            <w:tcW w:w="2535" w:type="dxa"/>
            <w:tcBorders>
              <w:top w:val="single" w:color="000000" w:sz="8" w:space="0"/>
              <w:left w:val="single" w:color="000000" w:sz="8" w:space="0"/>
              <w:bottom w:val="single" w:color="000000" w:sz="8" w:space="0"/>
            </w:tcBorders>
            <w:shd w:val="clear" w:color="auto" w:fill="auto"/>
            <w:vAlign w:val="center"/>
          </w:tcPr>
          <w:p>
            <w:pPr>
              <w:jc w:val="right"/>
              <w:rPr>
                <w:rFonts w:ascii="宋体" w:hAnsi="宋体" w:eastAsia="宋体" w:cs="宋体"/>
                <w:color w:val="auto"/>
                <w:sz w:val="22"/>
                <w:highlight w:val="none"/>
              </w:rPr>
            </w:pPr>
            <w:r>
              <w:rPr>
                <w:rFonts w:hint="eastAsia"/>
                <w:color w:val="auto"/>
                <w:sz w:val="22"/>
                <w:highlight w:val="none"/>
              </w:rPr>
              <w:t xml:space="preserve">-62.8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0" w:hRule="atLeast"/>
          <w:jc w:val="center"/>
        </w:trPr>
        <w:tc>
          <w:tcPr>
            <w:tcW w:w="3975" w:type="dxa"/>
            <w:tcBorders>
              <w:top w:val="single" w:color="000000" w:sz="8" w:space="0"/>
              <w:bottom w:val="single" w:color="000000" w:sz="8" w:space="0"/>
              <w:right w:val="single" w:color="000000" w:sz="8" w:space="0"/>
            </w:tcBorders>
            <w:shd w:val="clear" w:color="auto" w:fill="FFFFFF"/>
            <w:vAlign w:val="bottom"/>
          </w:tcPr>
          <w:p>
            <w:pPr>
              <w:snapToGrid w:val="0"/>
              <w:jc w:val="left"/>
              <w:rPr>
                <w:rFonts w:ascii="宋体" w:hAnsi="宋体" w:eastAsia="宋体"/>
                <w:color w:val="auto"/>
                <w:kern w:val="0"/>
                <w:sz w:val="22"/>
                <w:highlight w:val="none"/>
              </w:rPr>
            </w:pPr>
            <w:r>
              <w:rPr>
                <w:rFonts w:ascii="宋体" w:hAnsi="宋体" w:eastAsia="宋体"/>
                <w:color w:val="auto"/>
                <w:kern w:val="0"/>
                <w:sz w:val="22"/>
                <w:highlight w:val="none"/>
              </w:rPr>
              <w:t>　＃住宅</w:t>
            </w:r>
          </w:p>
        </w:tc>
        <w:tc>
          <w:tcPr>
            <w:tcW w:w="25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right"/>
              <w:rPr>
                <w:rFonts w:ascii="宋体" w:hAnsi="宋体" w:eastAsia="宋体" w:cs="宋体"/>
                <w:color w:val="auto"/>
                <w:sz w:val="22"/>
                <w:highlight w:val="none"/>
              </w:rPr>
            </w:pPr>
            <w:r>
              <w:rPr>
                <w:rFonts w:hint="eastAsia"/>
                <w:color w:val="auto"/>
                <w:sz w:val="22"/>
                <w:highlight w:val="none"/>
              </w:rPr>
              <w:t xml:space="preserve">233.92 </w:t>
            </w:r>
          </w:p>
        </w:tc>
        <w:tc>
          <w:tcPr>
            <w:tcW w:w="2535" w:type="dxa"/>
            <w:tcBorders>
              <w:top w:val="single" w:color="000000" w:sz="8" w:space="0"/>
              <w:left w:val="single" w:color="000000" w:sz="8" w:space="0"/>
              <w:bottom w:val="single" w:color="000000" w:sz="8" w:space="0"/>
            </w:tcBorders>
            <w:shd w:val="clear" w:color="auto" w:fill="auto"/>
            <w:vAlign w:val="center"/>
          </w:tcPr>
          <w:p>
            <w:pPr>
              <w:jc w:val="right"/>
              <w:rPr>
                <w:rFonts w:ascii="宋体" w:hAnsi="宋体" w:eastAsia="宋体" w:cs="宋体"/>
                <w:color w:val="auto"/>
                <w:sz w:val="22"/>
                <w:highlight w:val="none"/>
              </w:rPr>
            </w:pPr>
            <w:r>
              <w:rPr>
                <w:rFonts w:hint="eastAsia"/>
                <w:color w:val="auto"/>
                <w:sz w:val="22"/>
                <w:highlight w:val="none"/>
              </w:rPr>
              <w:t xml:space="preserve">-75.3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0" w:hRule="atLeast"/>
          <w:jc w:val="center"/>
        </w:trPr>
        <w:tc>
          <w:tcPr>
            <w:tcW w:w="3975" w:type="dxa"/>
            <w:tcBorders>
              <w:top w:val="single" w:color="000000" w:sz="8" w:space="0"/>
              <w:bottom w:val="single" w:color="000000" w:sz="8" w:space="0"/>
              <w:right w:val="single" w:color="000000" w:sz="8" w:space="0"/>
            </w:tcBorders>
            <w:shd w:val="clear" w:color="auto" w:fill="FFFFFF"/>
            <w:vAlign w:val="bottom"/>
          </w:tcPr>
          <w:p>
            <w:pPr>
              <w:snapToGrid w:val="0"/>
              <w:jc w:val="left"/>
              <w:rPr>
                <w:rFonts w:ascii="宋体" w:hAnsi="宋体" w:eastAsia="宋体"/>
                <w:color w:val="auto"/>
                <w:kern w:val="0"/>
                <w:sz w:val="22"/>
                <w:highlight w:val="none"/>
              </w:rPr>
            </w:pPr>
            <w:r>
              <w:rPr>
                <w:rFonts w:ascii="宋体" w:hAnsi="宋体" w:eastAsia="宋体"/>
                <w:color w:val="auto"/>
                <w:kern w:val="0"/>
                <w:sz w:val="22"/>
                <w:highlight w:val="none"/>
              </w:rPr>
              <w:t xml:space="preserve">    办公楼</w:t>
            </w:r>
          </w:p>
        </w:tc>
        <w:tc>
          <w:tcPr>
            <w:tcW w:w="253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right"/>
              <w:rPr>
                <w:rFonts w:ascii="宋体" w:hAnsi="宋体" w:eastAsia="宋体" w:cs="宋体"/>
                <w:color w:val="auto"/>
                <w:sz w:val="22"/>
                <w:highlight w:val="none"/>
              </w:rPr>
            </w:pPr>
            <w:r>
              <w:rPr>
                <w:rFonts w:hint="eastAsia"/>
                <w:color w:val="auto"/>
                <w:sz w:val="22"/>
                <w:highlight w:val="none"/>
              </w:rPr>
              <w:t xml:space="preserve">61.37 </w:t>
            </w:r>
          </w:p>
        </w:tc>
        <w:tc>
          <w:tcPr>
            <w:tcW w:w="2535" w:type="dxa"/>
            <w:tcBorders>
              <w:top w:val="single" w:color="000000" w:sz="8" w:space="0"/>
              <w:left w:val="single" w:color="000000" w:sz="8" w:space="0"/>
              <w:bottom w:val="single" w:color="000000" w:sz="8" w:space="0"/>
            </w:tcBorders>
            <w:shd w:val="clear" w:color="auto" w:fill="auto"/>
            <w:vAlign w:val="center"/>
          </w:tcPr>
          <w:p>
            <w:pPr>
              <w:jc w:val="right"/>
              <w:rPr>
                <w:rFonts w:ascii="宋体" w:hAnsi="宋体" w:eastAsia="宋体" w:cs="宋体"/>
                <w:color w:val="auto"/>
                <w:sz w:val="22"/>
                <w:highlight w:val="none"/>
              </w:rPr>
            </w:pPr>
            <w:r>
              <w:rPr>
                <w:rFonts w:hint="eastAsia"/>
                <w:color w:val="auto"/>
                <w:sz w:val="22"/>
                <w:highlight w:val="none"/>
              </w:rPr>
              <w:t xml:space="preserve">546.0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0" w:hRule="atLeast"/>
          <w:jc w:val="center"/>
        </w:trPr>
        <w:tc>
          <w:tcPr>
            <w:tcW w:w="3975" w:type="dxa"/>
            <w:tcBorders>
              <w:top w:val="single" w:color="000000" w:sz="8" w:space="0"/>
              <w:right w:val="single" w:color="000000" w:sz="8" w:space="0"/>
            </w:tcBorders>
            <w:shd w:val="clear" w:color="auto" w:fill="FFFFFF"/>
            <w:vAlign w:val="bottom"/>
          </w:tcPr>
          <w:p>
            <w:pPr>
              <w:snapToGrid w:val="0"/>
              <w:jc w:val="left"/>
              <w:rPr>
                <w:rFonts w:ascii="宋体" w:hAnsi="宋体" w:eastAsia="宋体"/>
                <w:color w:val="auto"/>
                <w:kern w:val="0"/>
                <w:sz w:val="22"/>
                <w:highlight w:val="none"/>
              </w:rPr>
            </w:pPr>
            <w:r>
              <w:rPr>
                <w:rFonts w:ascii="宋体" w:hAnsi="宋体" w:eastAsia="宋体"/>
                <w:color w:val="auto"/>
                <w:kern w:val="0"/>
                <w:sz w:val="22"/>
                <w:highlight w:val="none"/>
              </w:rPr>
              <w:t xml:space="preserve">    商业营业用房</w:t>
            </w:r>
          </w:p>
        </w:tc>
        <w:tc>
          <w:tcPr>
            <w:tcW w:w="2535" w:type="dxa"/>
            <w:tcBorders>
              <w:top w:val="single" w:color="000000" w:sz="8" w:space="0"/>
              <w:left w:val="single" w:color="000000" w:sz="8" w:space="0"/>
              <w:right w:val="single" w:color="000000" w:sz="8" w:space="0"/>
            </w:tcBorders>
            <w:shd w:val="clear" w:color="auto" w:fill="auto"/>
            <w:vAlign w:val="center"/>
          </w:tcPr>
          <w:p>
            <w:pPr>
              <w:jc w:val="right"/>
              <w:rPr>
                <w:rFonts w:ascii="宋体" w:hAnsi="宋体" w:eastAsia="宋体" w:cs="宋体"/>
                <w:color w:val="auto"/>
                <w:sz w:val="22"/>
                <w:highlight w:val="none"/>
              </w:rPr>
            </w:pPr>
            <w:r>
              <w:rPr>
                <w:rFonts w:hint="eastAsia"/>
                <w:color w:val="auto"/>
                <w:sz w:val="22"/>
                <w:highlight w:val="none"/>
              </w:rPr>
              <w:t xml:space="preserve">39.86 </w:t>
            </w:r>
          </w:p>
        </w:tc>
        <w:tc>
          <w:tcPr>
            <w:tcW w:w="2535" w:type="dxa"/>
            <w:tcBorders>
              <w:top w:val="single" w:color="000000" w:sz="8" w:space="0"/>
              <w:left w:val="single" w:color="000000" w:sz="8" w:space="0"/>
            </w:tcBorders>
            <w:shd w:val="clear" w:color="auto" w:fill="auto"/>
            <w:vAlign w:val="center"/>
          </w:tcPr>
          <w:p>
            <w:pPr>
              <w:jc w:val="right"/>
              <w:rPr>
                <w:rFonts w:ascii="宋体" w:hAnsi="宋体" w:eastAsia="宋体" w:cs="宋体"/>
                <w:color w:val="auto"/>
                <w:sz w:val="22"/>
                <w:highlight w:val="none"/>
              </w:rPr>
            </w:pPr>
            <w:r>
              <w:rPr>
                <w:rFonts w:hint="eastAsia"/>
                <w:color w:val="auto"/>
                <w:sz w:val="22"/>
                <w:highlight w:val="none"/>
              </w:rPr>
              <w:t xml:space="preserve">95.7 </w:t>
            </w:r>
          </w:p>
        </w:tc>
      </w:tr>
    </w:tbl>
    <w:p>
      <w:pPr>
        <w:snapToGrid w:val="0"/>
        <w:spacing w:before="0" w:after="0" w:line="600" w:lineRule="exact"/>
        <w:ind w:right="45" w:firstLine="646"/>
        <w:jc w:val="both"/>
        <w:rPr>
          <w:rFonts w:ascii="方正黑体_GBK" w:hAnsi="方正黑体_GBK" w:eastAsia="方正黑体_GBK"/>
          <w:color w:val="auto"/>
          <w:kern w:val="0"/>
          <w:sz w:val="32"/>
          <w:szCs w:val="32"/>
        </w:rPr>
      </w:pPr>
      <w:r>
        <w:rPr>
          <w:rFonts w:ascii="方正黑体_GBK" w:hAnsi="方正黑体_GBK" w:eastAsia="方正黑体_GBK"/>
          <w:color w:val="auto"/>
          <w:kern w:val="0"/>
          <w:sz w:val="32"/>
          <w:szCs w:val="32"/>
        </w:rPr>
        <w:t>六、对外经济</w:t>
      </w:r>
    </w:p>
    <w:p>
      <w:pPr>
        <w:snapToGrid w:val="0"/>
        <w:spacing w:before="0" w:after="0" w:line="600" w:lineRule="exact"/>
        <w:ind w:right="45" w:firstLine="646"/>
        <w:jc w:val="both"/>
        <w:rPr>
          <w:rFonts w:hint="eastAsia" w:ascii="仿宋" w:hAnsi="仿宋" w:eastAsia="仿宋"/>
          <w:color w:val="auto"/>
          <w:kern w:val="0"/>
          <w:sz w:val="32"/>
          <w:szCs w:val="32"/>
          <w:highlight w:val="none"/>
        </w:rPr>
      </w:pPr>
      <w:r>
        <w:rPr>
          <w:rFonts w:hint="eastAsia" w:ascii="仿宋" w:hAnsi="仿宋" w:eastAsia="仿宋"/>
          <w:color w:val="auto"/>
          <w:kern w:val="0"/>
          <w:sz w:val="32"/>
          <w:szCs w:val="32"/>
          <w:highlight w:val="none"/>
          <w:lang w:eastAsia="zh-CN"/>
        </w:rPr>
        <w:t>全年全区</w:t>
      </w:r>
      <w:r>
        <w:rPr>
          <w:rFonts w:hint="eastAsia" w:ascii="仿宋" w:hAnsi="仿宋" w:eastAsia="仿宋"/>
          <w:color w:val="auto"/>
          <w:kern w:val="0"/>
          <w:sz w:val="32"/>
          <w:szCs w:val="32"/>
          <w:highlight w:val="none"/>
        </w:rPr>
        <w:t>货物进出口额3062.1亿元，增长6%，高于全市4个百分点，占全市比重达37.5%。其中，出口1829.5亿元，全区占比59.7%；进口1232.6亿元，全区占比40.3%。</w:t>
      </w:r>
    </w:p>
    <w:p>
      <w:pPr>
        <w:snapToGrid w:val="0"/>
        <w:spacing w:before="0" w:after="0" w:line="600" w:lineRule="exact"/>
        <w:ind w:right="45" w:firstLine="646"/>
        <w:jc w:val="both"/>
        <w:rPr>
          <w:rFonts w:hint="eastAsia" w:ascii="仿宋" w:hAnsi="仿宋" w:eastAsia="仿宋"/>
          <w:color w:val="auto"/>
          <w:kern w:val="0"/>
          <w:sz w:val="32"/>
          <w:szCs w:val="32"/>
          <w:highlight w:val="none"/>
        </w:rPr>
      </w:pPr>
      <w:r>
        <w:rPr>
          <w:rFonts w:hint="eastAsia" w:ascii="仿宋" w:hAnsi="仿宋" w:eastAsia="仿宋"/>
          <w:color w:val="auto"/>
          <w:kern w:val="0"/>
          <w:sz w:val="32"/>
          <w:szCs w:val="32"/>
          <w:highlight w:val="none"/>
          <w:lang w:eastAsia="zh-CN"/>
        </w:rPr>
        <w:t>全年全区</w:t>
      </w:r>
      <w:r>
        <w:rPr>
          <w:rFonts w:hint="eastAsia" w:ascii="仿宋" w:hAnsi="仿宋" w:eastAsia="仿宋"/>
          <w:color w:val="auto"/>
          <w:kern w:val="0"/>
          <w:sz w:val="32"/>
          <w:szCs w:val="32"/>
          <w:highlight w:val="none"/>
        </w:rPr>
        <w:t>实际使用外资6.6亿美元。其中，制造业3.7亿美元，占比56.7%；服务业1.8亿美元，占比27.4%；金融业1亿美元，占比15.9%。直管区实际使用外资6亿美元，全区占比90.6%。</w:t>
      </w:r>
    </w:p>
    <w:p>
      <w:pPr>
        <w:snapToGrid w:val="0"/>
        <w:spacing w:before="0" w:after="0" w:line="600" w:lineRule="exact"/>
        <w:ind w:right="45" w:firstLine="646"/>
        <w:jc w:val="both"/>
        <w:rPr>
          <w:rFonts w:hint="eastAsia" w:ascii="仿宋" w:hAnsi="仿宋" w:eastAsia="仿宋"/>
          <w:color w:val="auto"/>
          <w:kern w:val="0"/>
          <w:sz w:val="32"/>
          <w:szCs w:val="32"/>
          <w:highlight w:val="none"/>
        </w:rPr>
      </w:pPr>
      <w:r>
        <w:rPr>
          <w:rFonts w:hint="eastAsia" w:ascii="仿宋" w:hAnsi="仿宋" w:eastAsia="仿宋"/>
          <w:color w:val="auto"/>
          <w:kern w:val="0"/>
          <w:sz w:val="32"/>
          <w:szCs w:val="32"/>
          <w:highlight w:val="none"/>
        </w:rPr>
        <w:t>深化自贸试验区探索实践，2022年“川渝涉外商事司法协作新模式”、“打造‘一站式’‘一体化’移民事务服务体系”等6个案例入选中国（重庆）自由贸易试验区新一批改革试点经验和最佳实践案例，并在全市复制推广，新增案例数居全市第一。自贸区新增市场主体4456家，新增注册资本金737亿元，增长53.6%，累计达3.7万户，注册资本超过5700亿元，分别占全市比重超过50%和72%。</w:t>
      </w:r>
    </w:p>
    <w:p>
      <w:pPr>
        <w:snapToGrid w:val="0"/>
        <w:spacing w:before="0" w:after="0" w:line="600" w:lineRule="exact"/>
        <w:ind w:right="45" w:firstLine="646"/>
        <w:jc w:val="both"/>
        <w:rPr>
          <w:rFonts w:ascii="方正黑体_GBK" w:hAnsi="方正黑体_GBK" w:eastAsia="方正黑体_GBK"/>
          <w:color w:val="auto"/>
          <w:kern w:val="0"/>
          <w:sz w:val="32"/>
          <w:szCs w:val="32"/>
        </w:rPr>
      </w:pPr>
      <w:r>
        <w:rPr>
          <w:rFonts w:hint="eastAsia" w:ascii="方正黑体_GBK" w:hAnsi="方正黑体_GBK" w:eastAsia="方正黑体_GBK"/>
          <w:color w:val="auto"/>
          <w:kern w:val="0"/>
          <w:sz w:val="32"/>
          <w:szCs w:val="32"/>
          <w:lang w:eastAsia="zh-CN"/>
        </w:rPr>
        <w:t>七</w:t>
      </w:r>
      <w:r>
        <w:rPr>
          <w:rFonts w:ascii="方正黑体_GBK" w:hAnsi="方正黑体_GBK" w:eastAsia="方正黑体_GBK"/>
          <w:color w:val="auto"/>
          <w:kern w:val="0"/>
          <w:sz w:val="32"/>
          <w:szCs w:val="32"/>
        </w:rPr>
        <w:t>、财政金融</w:t>
      </w:r>
    </w:p>
    <w:p>
      <w:pPr>
        <w:snapToGrid w:val="0"/>
        <w:spacing w:before="0" w:after="0" w:line="600" w:lineRule="exact"/>
        <w:ind w:firstLine="646"/>
        <w:jc w:val="both"/>
        <w:rPr>
          <w:rFonts w:ascii="仿宋" w:hAnsi="仿宋" w:eastAsia="仿宋"/>
          <w:color w:val="auto"/>
          <w:kern w:val="0"/>
          <w:sz w:val="32"/>
          <w:szCs w:val="32"/>
        </w:rPr>
      </w:pPr>
      <w:r>
        <w:rPr>
          <w:rFonts w:hint="eastAsia" w:ascii="仿宋" w:hAnsi="仿宋" w:eastAsia="仿宋"/>
          <w:color w:val="auto"/>
          <w:kern w:val="0"/>
          <w:sz w:val="32"/>
          <w:szCs w:val="32"/>
          <w:lang w:eastAsia="zh-CN"/>
        </w:rPr>
        <w:t>全年直管区</w:t>
      </w:r>
      <w:r>
        <w:rPr>
          <w:rFonts w:ascii="仿宋" w:hAnsi="仿宋" w:eastAsia="仿宋"/>
          <w:color w:val="auto"/>
          <w:kern w:val="0"/>
          <w:sz w:val="32"/>
          <w:szCs w:val="32"/>
        </w:rPr>
        <w:t>一般公共预算收入</w:t>
      </w:r>
      <w:r>
        <w:rPr>
          <w:rFonts w:hint="eastAsia" w:ascii="宋体" w:hAnsi="宋体" w:eastAsia="宋体"/>
          <w:color w:val="auto"/>
          <w:kern w:val="0"/>
          <w:sz w:val="32"/>
          <w:szCs w:val="32"/>
          <w:lang w:val="en-US" w:eastAsia="zh-CN"/>
        </w:rPr>
        <w:t>111.42</w:t>
      </w:r>
      <w:r>
        <w:rPr>
          <w:rFonts w:ascii="仿宋" w:hAnsi="仿宋" w:eastAsia="仿宋"/>
          <w:color w:val="auto"/>
          <w:kern w:val="0"/>
          <w:sz w:val="32"/>
          <w:szCs w:val="32"/>
        </w:rPr>
        <w:t>亿元，比上年</w:t>
      </w:r>
      <w:r>
        <w:rPr>
          <w:rFonts w:hint="eastAsia" w:ascii="仿宋" w:hAnsi="仿宋" w:eastAsia="仿宋"/>
          <w:color w:val="auto"/>
          <w:kern w:val="0"/>
          <w:sz w:val="32"/>
          <w:szCs w:val="32"/>
          <w:lang w:eastAsia="zh-CN"/>
        </w:rPr>
        <w:t>下降</w:t>
      </w:r>
      <w:r>
        <w:rPr>
          <w:rFonts w:hint="eastAsia" w:ascii="仿宋" w:hAnsi="仿宋" w:eastAsia="仿宋"/>
          <w:color w:val="auto"/>
          <w:kern w:val="0"/>
          <w:sz w:val="32"/>
          <w:szCs w:val="32"/>
          <w:lang w:val="en-US" w:eastAsia="zh-CN"/>
        </w:rPr>
        <w:t>13.7</w:t>
      </w:r>
      <w:r>
        <w:rPr>
          <w:rFonts w:ascii="宋体" w:hAnsi="宋体" w:eastAsia="宋体"/>
          <w:color w:val="auto"/>
          <w:kern w:val="0"/>
          <w:sz w:val="32"/>
          <w:szCs w:val="32"/>
        </w:rPr>
        <w:t>%</w:t>
      </w:r>
      <w:r>
        <w:rPr>
          <w:rFonts w:ascii="仿宋" w:hAnsi="仿宋" w:eastAsia="仿宋"/>
          <w:color w:val="auto"/>
          <w:kern w:val="0"/>
          <w:sz w:val="32"/>
          <w:szCs w:val="32"/>
        </w:rPr>
        <w:t>。其中税收收入</w:t>
      </w:r>
      <w:r>
        <w:rPr>
          <w:rFonts w:hint="eastAsia" w:ascii="宋体" w:hAnsi="宋体" w:eastAsia="宋体"/>
          <w:color w:val="auto"/>
          <w:kern w:val="0"/>
          <w:sz w:val="32"/>
          <w:szCs w:val="32"/>
          <w:lang w:val="en-US" w:eastAsia="zh-CN"/>
        </w:rPr>
        <w:t>92.59</w:t>
      </w:r>
      <w:r>
        <w:rPr>
          <w:rFonts w:ascii="仿宋" w:hAnsi="仿宋" w:eastAsia="仿宋"/>
          <w:color w:val="auto"/>
          <w:kern w:val="0"/>
          <w:sz w:val="32"/>
          <w:szCs w:val="32"/>
        </w:rPr>
        <w:t>亿元，</w:t>
      </w:r>
      <w:r>
        <w:rPr>
          <w:rFonts w:hint="eastAsia" w:ascii="仿宋" w:hAnsi="仿宋" w:eastAsia="仿宋"/>
          <w:color w:val="auto"/>
          <w:kern w:val="0"/>
          <w:sz w:val="32"/>
          <w:szCs w:val="32"/>
          <w:lang w:val="en-US" w:eastAsia="zh-CN"/>
        </w:rPr>
        <w:t>下降17.8</w:t>
      </w:r>
      <w:r>
        <w:rPr>
          <w:rFonts w:ascii="宋体" w:hAnsi="宋体" w:eastAsia="宋体"/>
          <w:color w:val="auto"/>
          <w:kern w:val="0"/>
          <w:sz w:val="32"/>
          <w:szCs w:val="32"/>
        </w:rPr>
        <w:t>%</w:t>
      </w:r>
      <w:r>
        <w:rPr>
          <w:rFonts w:ascii="仿宋" w:hAnsi="仿宋" w:eastAsia="仿宋"/>
          <w:color w:val="auto"/>
          <w:kern w:val="0"/>
          <w:sz w:val="32"/>
          <w:szCs w:val="32"/>
        </w:rPr>
        <w:t>。直管区一般公共预算支出</w:t>
      </w:r>
      <w:r>
        <w:rPr>
          <w:rFonts w:hint="eastAsia" w:ascii="宋体" w:hAnsi="宋体" w:eastAsia="宋体"/>
          <w:color w:val="auto"/>
          <w:kern w:val="0"/>
          <w:sz w:val="32"/>
          <w:szCs w:val="32"/>
          <w:lang w:val="en-US" w:eastAsia="zh-CN"/>
        </w:rPr>
        <w:t>178.31</w:t>
      </w:r>
      <w:r>
        <w:rPr>
          <w:rFonts w:ascii="仿宋" w:hAnsi="仿宋" w:eastAsia="仿宋"/>
          <w:color w:val="auto"/>
          <w:kern w:val="0"/>
          <w:sz w:val="32"/>
          <w:szCs w:val="32"/>
        </w:rPr>
        <w:t>亿元，比上年下降</w:t>
      </w:r>
      <w:r>
        <w:rPr>
          <w:rFonts w:hint="eastAsia" w:ascii="仿宋" w:hAnsi="仿宋" w:eastAsia="仿宋"/>
          <w:color w:val="auto"/>
          <w:kern w:val="0"/>
          <w:sz w:val="32"/>
          <w:szCs w:val="32"/>
          <w:lang w:val="en-US" w:eastAsia="zh-CN"/>
        </w:rPr>
        <w:t>18.4</w:t>
      </w:r>
      <w:r>
        <w:rPr>
          <w:rFonts w:ascii="宋体" w:hAnsi="宋体" w:eastAsia="宋体"/>
          <w:color w:val="auto"/>
          <w:kern w:val="0"/>
          <w:sz w:val="32"/>
          <w:szCs w:val="32"/>
        </w:rPr>
        <w:t>%</w:t>
      </w:r>
      <w:r>
        <w:rPr>
          <w:rFonts w:ascii="仿宋" w:hAnsi="仿宋" w:eastAsia="仿宋"/>
          <w:color w:val="auto"/>
          <w:kern w:val="0"/>
          <w:sz w:val="32"/>
          <w:szCs w:val="32"/>
        </w:rPr>
        <w:t>。</w:t>
      </w:r>
    </w:p>
    <w:p>
      <w:pPr>
        <w:snapToGrid w:val="0"/>
        <w:spacing w:before="0" w:after="0" w:line="600" w:lineRule="exact"/>
        <w:ind w:firstLine="646"/>
        <w:jc w:val="both"/>
        <w:rPr>
          <w:rFonts w:hint="eastAsia" w:ascii="仿宋" w:hAnsi="仿宋" w:eastAsia="仿宋"/>
          <w:color w:val="auto"/>
          <w:kern w:val="0"/>
          <w:sz w:val="32"/>
          <w:szCs w:val="32"/>
        </w:rPr>
      </w:pPr>
      <w:r>
        <w:rPr>
          <w:rFonts w:hint="eastAsia" w:ascii="仿宋" w:hAnsi="仿宋" w:eastAsia="仿宋"/>
          <w:color w:val="auto"/>
          <w:kern w:val="0"/>
          <w:sz w:val="32"/>
          <w:szCs w:val="32"/>
        </w:rPr>
        <w:t>年末全区金融机构本外币存款余额14855.3亿元，比上年末增长6.1%。其中，人民币存款余额14208.59亿元，增长7.6%。金融机构本外币贷款余额19975.25亿元，比上年末增长7.4%。其中，人民币贷款余额19502.24亿元，增长7.9%。</w:t>
      </w:r>
    </w:p>
    <w:p>
      <w:pPr>
        <w:snapToGrid w:val="0"/>
        <w:spacing w:line="600" w:lineRule="atLeast"/>
        <w:jc w:val="center"/>
        <w:rPr>
          <w:rFonts w:ascii="仿宋" w:hAnsi="仿宋" w:eastAsia="仿宋"/>
          <w:color w:val="auto"/>
          <w:kern w:val="0"/>
          <w:sz w:val="32"/>
          <w:szCs w:val="32"/>
          <w:highlight w:val="none"/>
        </w:rPr>
      </w:pPr>
      <w:r>
        <w:rPr>
          <w:rFonts w:ascii="仿宋" w:hAnsi="仿宋" w:eastAsia="仿宋"/>
          <w:color w:val="auto"/>
          <w:kern w:val="0"/>
          <w:sz w:val="32"/>
          <w:szCs w:val="32"/>
          <w:highlight w:val="none"/>
        </w:rPr>
        <w:t>表</w:t>
      </w:r>
      <w:r>
        <w:rPr>
          <w:rFonts w:hint="eastAsia" w:ascii="仿宋" w:hAnsi="仿宋" w:eastAsia="仿宋"/>
          <w:color w:val="auto"/>
          <w:kern w:val="0"/>
          <w:sz w:val="32"/>
          <w:szCs w:val="32"/>
          <w:highlight w:val="none"/>
          <w:lang w:val="en-US" w:eastAsia="zh-CN"/>
        </w:rPr>
        <w:t>4</w:t>
      </w:r>
      <w:r>
        <w:rPr>
          <w:rFonts w:ascii="仿宋" w:hAnsi="仿宋" w:eastAsia="仿宋"/>
          <w:color w:val="auto"/>
          <w:kern w:val="0"/>
          <w:sz w:val="32"/>
          <w:szCs w:val="32"/>
          <w:highlight w:val="none"/>
        </w:rPr>
        <w:t xml:space="preserve">  202</w:t>
      </w:r>
      <w:r>
        <w:rPr>
          <w:rFonts w:hint="eastAsia" w:ascii="仿宋" w:hAnsi="仿宋" w:eastAsia="仿宋"/>
          <w:color w:val="auto"/>
          <w:kern w:val="0"/>
          <w:sz w:val="32"/>
          <w:szCs w:val="32"/>
          <w:highlight w:val="none"/>
        </w:rPr>
        <w:t>2</w:t>
      </w:r>
      <w:r>
        <w:rPr>
          <w:rFonts w:ascii="仿宋" w:hAnsi="仿宋" w:eastAsia="仿宋"/>
          <w:color w:val="auto"/>
          <w:kern w:val="0"/>
          <w:sz w:val="32"/>
          <w:szCs w:val="32"/>
          <w:highlight w:val="none"/>
        </w:rPr>
        <w:t>年末金融机构存贷款余额及其增长速度</w:t>
      </w:r>
    </w:p>
    <w:tbl>
      <w:tblPr>
        <w:tblStyle w:val="5"/>
        <w:tblW w:w="4998" w:type="pct"/>
        <w:jc w:val="center"/>
        <w:tblLayout w:type="autofit"/>
        <w:tblCellMar>
          <w:top w:w="0" w:type="dxa"/>
          <w:left w:w="108" w:type="dxa"/>
          <w:bottom w:w="0" w:type="dxa"/>
          <w:right w:w="108" w:type="dxa"/>
        </w:tblCellMar>
      </w:tblPr>
      <w:tblGrid>
        <w:gridCol w:w="5192"/>
        <w:gridCol w:w="1989"/>
        <w:gridCol w:w="1989"/>
      </w:tblGrid>
      <w:tr>
        <w:tblPrEx>
          <w:tblCellMar>
            <w:top w:w="0" w:type="dxa"/>
            <w:left w:w="108" w:type="dxa"/>
            <w:bottom w:w="0" w:type="dxa"/>
            <w:right w:w="108" w:type="dxa"/>
          </w:tblCellMar>
        </w:tblPrEx>
        <w:trPr>
          <w:trHeight w:val="768" w:hRule="atLeast"/>
          <w:tblHeader/>
          <w:jc w:val="center"/>
        </w:trPr>
        <w:tc>
          <w:tcPr>
            <w:tcW w:w="2830" w:type="pct"/>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auto"/>
                <w:kern w:val="0"/>
                <w:sz w:val="22"/>
                <w:highlight w:val="none"/>
              </w:rPr>
            </w:pPr>
            <w:r>
              <w:rPr>
                <w:rFonts w:hint="eastAsia" w:ascii="宋体" w:hAnsi="宋体" w:eastAsia="宋体" w:cs="宋体"/>
                <w:b/>
                <w:bCs/>
                <w:color w:val="auto"/>
                <w:kern w:val="0"/>
                <w:sz w:val="22"/>
                <w:highlight w:val="none"/>
              </w:rPr>
              <w:t>指标</w:t>
            </w:r>
          </w:p>
        </w:tc>
        <w:tc>
          <w:tcPr>
            <w:tcW w:w="1084" w:type="pct"/>
            <w:tcBorders>
              <w:top w:val="single" w:color="auto" w:sz="8" w:space="0"/>
              <w:left w:val="nil"/>
              <w:bottom w:val="single" w:color="auto" w:sz="4" w:space="0"/>
              <w:right w:val="nil"/>
            </w:tcBorders>
            <w:shd w:val="clear" w:color="auto" w:fill="auto"/>
            <w:noWrap/>
            <w:vAlign w:val="center"/>
          </w:tcPr>
          <w:p>
            <w:pPr>
              <w:widowControl/>
              <w:jc w:val="center"/>
              <w:rPr>
                <w:rFonts w:hint="eastAsia" w:ascii="宋体" w:hAnsi="宋体" w:eastAsia="宋体" w:cs="宋体"/>
                <w:b/>
                <w:bCs/>
                <w:color w:val="auto"/>
                <w:kern w:val="0"/>
                <w:sz w:val="22"/>
                <w:highlight w:val="none"/>
              </w:rPr>
            </w:pPr>
            <w:r>
              <w:rPr>
                <w:rFonts w:hint="eastAsia" w:ascii="宋体" w:hAnsi="宋体" w:eastAsia="宋体" w:cs="宋体"/>
                <w:b/>
                <w:bCs/>
                <w:color w:val="auto"/>
                <w:kern w:val="0"/>
                <w:sz w:val="22"/>
                <w:highlight w:val="none"/>
              </w:rPr>
              <w:t>12月末</w:t>
            </w:r>
          </w:p>
        </w:tc>
        <w:tc>
          <w:tcPr>
            <w:tcW w:w="1084" w:type="pct"/>
            <w:tcBorders>
              <w:top w:val="single" w:color="auto" w:sz="8" w:space="0"/>
              <w:left w:val="single" w:color="auto" w:sz="4" w:space="0"/>
              <w:bottom w:val="single" w:color="auto" w:sz="4" w:space="0"/>
              <w:right w:val="nil"/>
            </w:tcBorders>
            <w:shd w:val="clear" w:color="auto" w:fill="auto"/>
            <w:vAlign w:val="center"/>
          </w:tcPr>
          <w:p>
            <w:pPr>
              <w:jc w:val="center"/>
              <w:rPr>
                <w:rFonts w:hint="eastAsia" w:ascii="宋体" w:hAnsi="宋体" w:eastAsia="宋体" w:cs="宋体"/>
                <w:b/>
                <w:bCs/>
                <w:color w:val="auto"/>
                <w:kern w:val="0"/>
                <w:sz w:val="22"/>
                <w:highlight w:val="none"/>
              </w:rPr>
            </w:pPr>
            <w:r>
              <w:rPr>
                <w:rFonts w:hint="eastAsia" w:ascii="宋体" w:hAnsi="宋体" w:eastAsia="宋体" w:cs="宋体"/>
                <w:b/>
                <w:bCs/>
                <w:color w:val="auto"/>
                <w:kern w:val="0"/>
                <w:sz w:val="22"/>
                <w:highlight w:val="none"/>
              </w:rPr>
              <w:t>同比±%</w:t>
            </w:r>
          </w:p>
        </w:tc>
      </w:tr>
      <w:tr>
        <w:tblPrEx>
          <w:tblCellMar>
            <w:top w:w="0" w:type="dxa"/>
            <w:left w:w="108" w:type="dxa"/>
            <w:bottom w:w="0" w:type="dxa"/>
            <w:right w:w="108" w:type="dxa"/>
          </w:tblCellMar>
        </w:tblPrEx>
        <w:trPr>
          <w:trHeight w:val="402" w:hRule="atLeast"/>
          <w:jc w:val="center"/>
        </w:trPr>
        <w:tc>
          <w:tcPr>
            <w:tcW w:w="2830" w:type="pct"/>
            <w:tcBorders>
              <w:top w:val="nil"/>
              <w:left w:val="nil"/>
              <w:bottom w:val="nil"/>
              <w:right w:val="single" w:color="auto" w:sz="4" w:space="0"/>
            </w:tcBorders>
            <w:shd w:val="clear" w:color="auto" w:fill="auto"/>
            <w:noWrap/>
            <w:vAlign w:val="center"/>
          </w:tcPr>
          <w:p>
            <w:pPr>
              <w:widowControl/>
              <w:jc w:val="left"/>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本外币存款余额</w:t>
            </w:r>
          </w:p>
        </w:tc>
        <w:tc>
          <w:tcPr>
            <w:tcW w:w="1084" w:type="pct"/>
            <w:tcBorders>
              <w:top w:val="nil"/>
              <w:left w:val="nil"/>
              <w:bottom w:val="nil"/>
              <w:right w:val="nil"/>
            </w:tcBorders>
            <w:shd w:val="clear" w:color="auto" w:fill="auto"/>
            <w:noWrap/>
            <w:vAlign w:val="center"/>
          </w:tcPr>
          <w:p>
            <w:pPr>
              <w:widowControl/>
              <w:jc w:val="right"/>
              <w:rPr>
                <w:rFonts w:ascii="方正仿宋_GBK" w:hAnsi="宋体" w:eastAsia="方正仿宋_GBK" w:cs="宋体"/>
                <w:color w:val="auto"/>
                <w:kern w:val="0"/>
                <w:sz w:val="22"/>
                <w:highlight w:val="none"/>
              </w:rPr>
            </w:pPr>
            <w:r>
              <w:rPr>
                <w:rFonts w:hint="eastAsia" w:ascii="方正仿宋_GBK" w:hAnsi="宋体" w:eastAsia="方正仿宋_GBK" w:cs="宋体"/>
                <w:color w:val="auto"/>
                <w:kern w:val="0"/>
                <w:sz w:val="22"/>
                <w:highlight w:val="none"/>
              </w:rPr>
              <w:t>14855.30</w:t>
            </w:r>
          </w:p>
        </w:tc>
        <w:tc>
          <w:tcPr>
            <w:tcW w:w="1084" w:type="pct"/>
            <w:tcBorders>
              <w:top w:val="nil"/>
              <w:left w:val="single" w:color="auto" w:sz="4" w:space="0"/>
              <w:bottom w:val="nil"/>
              <w:right w:val="nil"/>
            </w:tcBorders>
            <w:shd w:val="clear" w:color="auto" w:fill="auto"/>
            <w:vAlign w:val="center"/>
          </w:tcPr>
          <w:p>
            <w:pPr>
              <w:jc w:val="right"/>
              <w:rPr>
                <w:rFonts w:ascii="方正仿宋_GBK" w:hAnsi="宋体" w:eastAsia="方正仿宋_GBK" w:cs="宋体"/>
                <w:color w:val="auto"/>
                <w:kern w:val="0"/>
                <w:sz w:val="22"/>
                <w:highlight w:val="none"/>
              </w:rPr>
            </w:pPr>
            <w:r>
              <w:rPr>
                <w:rFonts w:hint="eastAsia" w:ascii="方正仿宋_GBK" w:hAnsi="宋体" w:eastAsia="方正仿宋_GBK" w:cs="宋体"/>
                <w:color w:val="auto"/>
                <w:kern w:val="0"/>
                <w:sz w:val="22"/>
                <w:highlight w:val="none"/>
              </w:rPr>
              <w:t>6.1</w:t>
            </w:r>
          </w:p>
        </w:tc>
      </w:tr>
      <w:tr>
        <w:tblPrEx>
          <w:tblCellMar>
            <w:top w:w="0" w:type="dxa"/>
            <w:left w:w="108" w:type="dxa"/>
            <w:bottom w:w="0" w:type="dxa"/>
            <w:right w:w="108" w:type="dxa"/>
          </w:tblCellMar>
        </w:tblPrEx>
        <w:trPr>
          <w:trHeight w:val="402" w:hRule="atLeast"/>
          <w:jc w:val="center"/>
        </w:trPr>
        <w:tc>
          <w:tcPr>
            <w:tcW w:w="2830" w:type="pct"/>
            <w:tcBorders>
              <w:top w:val="nil"/>
              <w:left w:val="nil"/>
              <w:bottom w:val="nil"/>
              <w:right w:val="single" w:color="auto" w:sz="4" w:space="0"/>
            </w:tcBorders>
            <w:shd w:val="clear" w:color="auto" w:fill="auto"/>
            <w:noWrap/>
            <w:vAlign w:val="center"/>
          </w:tcPr>
          <w:p>
            <w:pPr>
              <w:widowControl/>
              <w:jc w:val="left"/>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 xml:space="preserve">  #本外币非银行业金融机构存款</w:t>
            </w:r>
          </w:p>
        </w:tc>
        <w:tc>
          <w:tcPr>
            <w:tcW w:w="1084" w:type="pct"/>
            <w:tcBorders>
              <w:top w:val="nil"/>
              <w:left w:val="nil"/>
              <w:bottom w:val="nil"/>
              <w:right w:val="nil"/>
            </w:tcBorders>
            <w:shd w:val="clear" w:color="auto" w:fill="auto"/>
            <w:noWrap/>
            <w:vAlign w:val="center"/>
          </w:tcPr>
          <w:p>
            <w:pPr>
              <w:widowControl/>
              <w:jc w:val="right"/>
              <w:rPr>
                <w:rFonts w:ascii="方正仿宋_GBK" w:hAnsi="宋体" w:eastAsia="方正仿宋_GBK" w:cs="宋体"/>
                <w:color w:val="auto"/>
                <w:kern w:val="0"/>
                <w:sz w:val="22"/>
                <w:highlight w:val="none"/>
              </w:rPr>
            </w:pPr>
            <w:r>
              <w:rPr>
                <w:rFonts w:hint="eastAsia" w:ascii="方正仿宋_GBK" w:hAnsi="宋体" w:eastAsia="方正仿宋_GBK" w:cs="宋体"/>
                <w:color w:val="auto"/>
                <w:kern w:val="0"/>
                <w:sz w:val="22"/>
                <w:highlight w:val="none"/>
              </w:rPr>
              <w:t>2357.26</w:t>
            </w:r>
          </w:p>
        </w:tc>
        <w:tc>
          <w:tcPr>
            <w:tcW w:w="1084" w:type="pct"/>
            <w:tcBorders>
              <w:top w:val="nil"/>
              <w:left w:val="single" w:color="auto" w:sz="4" w:space="0"/>
              <w:bottom w:val="nil"/>
              <w:right w:val="nil"/>
            </w:tcBorders>
            <w:shd w:val="clear" w:color="auto" w:fill="auto"/>
            <w:vAlign w:val="center"/>
          </w:tcPr>
          <w:p>
            <w:pPr>
              <w:widowControl/>
              <w:jc w:val="right"/>
              <w:rPr>
                <w:rFonts w:ascii="方正仿宋_GBK" w:hAnsi="宋体" w:eastAsia="方正仿宋_GBK" w:cs="宋体"/>
                <w:color w:val="auto"/>
                <w:kern w:val="0"/>
                <w:sz w:val="22"/>
                <w:highlight w:val="none"/>
              </w:rPr>
            </w:pPr>
          </w:p>
        </w:tc>
      </w:tr>
      <w:tr>
        <w:tblPrEx>
          <w:tblCellMar>
            <w:top w:w="0" w:type="dxa"/>
            <w:left w:w="108" w:type="dxa"/>
            <w:bottom w:w="0" w:type="dxa"/>
            <w:right w:w="108" w:type="dxa"/>
          </w:tblCellMar>
        </w:tblPrEx>
        <w:trPr>
          <w:trHeight w:val="402" w:hRule="atLeast"/>
          <w:jc w:val="center"/>
        </w:trPr>
        <w:tc>
          <w:tcPr>
            <w:tcW w:w="2830" w:type="pct"/>
            <w:tcBorders>
              <w:top w:val="nil"/>
              <w:left w:val="nil"/>
              <w:bottom w:val="nil"/>
              <w:right w:val="single" w:color="auto" w:sz="4" w:space="0"/>
            </w:tcBorders>
            <w:shd w:val="clear" w:color="auto" w:fill="auto"/>
            <w:noWrap/>
            <w:vAlign w:val="center"/>
          </w:tcPr>
          <w:p>
            <w:pPr>
              <w:widowControl/>
              <w:jc w:val="left"/>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　 人民币存款余额</w:t>
            </w:r>
          </w:p>
        </w:tc>
        <w:tc>
          <w:tcPr>
            <w:tcW w:w="1084" w:type="pct"/>
            <w:tcBorders>
              <w:top w:val="nil"/>
              <w:left w:val="nil"/>
              <w:bottom w:val="nil"/>
              <w:right w:val="nil"/>
            </w:tcBorders>
            <w:shd w:val="clear" w:color="auto" w:fill="auto"/>
            <w:noWrap/>
            <w:vAlign w:val="center"/>
          </w:tcPr>
          <w:p>
            <w:pPr>
              <w:widowControl/>
              <w:jc w:val="right"/>
              <w:rPr>
                <w:rFonts w:ascii="方正仿宋_GBK" w:hAnsi="宋体" w:eastAsia="方正仿宋_GBK" w:cs="宋体"/>
                <w:color w:val="auto"/>
                <w:kern w:val="0"/>
                <w:sz w:val="22"/>
                <w:highlight w:val="none"/>
              </w:rPr>
            </w:pPr>
            <w:r>
              <w:rPr>
                <w:rFonts w:hint="eastAsia" w:ascii="方正仿宋_GBK" w:hAnsi="宋体" w:eastAsia="方正仿宋_GBK" w:cs="宋体"/>
                <w:color w:val="auto"/>
                <w:kern w:val="0"/>
                <w:sz w:val="22"/>
                <w:highlight w:val="none"/>
              </w:rPr>
              <w:t>14208.59</w:t>
            </w:r>
          </w:p>
        </w:tc>
        <w:tc>
          <w:tcPr>
            <w:tcW w:w="1084" w:type="pct"/>
            <w:tcBorders>
              <w:top w:val="nil"/>
              <w:left w:val="single" w:color="auto" w:sz="4" w:space="0"/>
              <w:bottom w:val="nil"/>
              <w:right w:val="nil"/>
            </w:tcBorders>
            <w:shd w:val="clear" w:color="auto" w:fill="auto"/>
            <w:vAlign w:val="center"/>
          </w:tcPr>
          <w:p>
            <w:pPr>
              <w:jc w:val="right"/>
              <w:rPr>
                <w:rFonts w:ascii="方正仿宋_GBK" w:hAnsi="宋体" w:eastAsia="方正仿宋_GBK" w:cs="宋体"/>
                <w:color w:val="auto"/>
                <w:kern w:val="0"/>
                <w:sz w:val="22"/>
                <w:highlight w:val="none"/>
              </w:rPr>
            </w:pPr>
            <w:r>
              <w:rPr>
                <w:rFonts w:hint="eastAsia" w:ascii="方正仿宋_GBK" w:hAnsi="宋体" w:eastAsia="方正仿宋_GBK" w:cs="宋体"/>
                <w:color w:val="auto"/>
                <w:kern w:val="0"/>
                <w:sz w:val="22"/>
                <w:highlight w:val="none"/>
              </w:rPr>
              <w:t>7.6</w:t>
            </w:r>
          </w:p>
        </w:tc>
      </w:tr>
      <w:tr>
        <w:tblPrEx>
          <w:tblCellMar>
            <w:top w:w="0" w:type="dxa"/>
            <w:left w:w="108" w:type="dxa"/>
            <w:bottom w:w="0" w:type="dxa"/>
            <w:right w:w="108" w:type="dxa"/>
          </w:tblCellMar>
        </w:tblPrEx>
        <w:trPr>
          <w:trHeight w:val="402" w:hRule="atLeast"/>
          <w:jc w:val="center"/>
        </w:trPr>
        <w:tc>
          <w:tcPr>
            <w:tcW w:w="2830" w:type="pct"/>
            <w:tcBorders>
              <w:top w:val="nil"/>
              <w:left w:val="nil"/>
              <w:bottom w:val="nil"/>
              <w:right w:val="single" w:color="auto" w:sz="4" w:space="0"/>
            </w:tcBorders>
            <w:shd w:val="clear" w:color="auto" w:fill="auto"/>
            <w:noWrap/>
            <w:vAlign w:val="center"/>
          </w:tcPr>
          <w:p>
            <w:pPr>
              <w:widowControl/>
              <w:jc w:val="left"/>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　　#住户存款</w:t>
            </w:r>
          </w:p>
        </w:tc>
        <w:tc>
          <w:tcPr>
            <w:tcW w:w="1084" w:type="pct"/>
            <w:tcBorders>
              <w:top w:val="nil"/>
              <w:left w:val="nil"/>
              <w:bottom w:val="nil"/>
              <w:right w:val="nil"/>
            </w:tcBorders>
            <w:shd w:val="clear" w:color="auto" w:fill="auto"/>
            <w:noWrap/>
            <w:vAlign w:val="center"/>
          </w:tcPr>
          <w:p>
            <w:pPr>
              <w:widowControl/>
              <w:jc w:val="right"/>
              <w:rPr>
                <w:rFonts w:ascii="方正仿宋_GBK" w:hAnsi="宋体" w:eastAsia="方正仿宋_GBK" w:cs="宋体"/>
                <w:color w:val="auto"/>
                <w:kern w:val="0"/>
                <w:sz w:val="22"/>
                <w:highlight w:val="none"/>
              </w:rPr>
            </w:pPr>
            <w:r>
              <w:rPr>
                <w:rFonts w:hint="eastAsia" w:ascii="方正仿宋_GBK" w:hAnsi="宋体" w:eastAsia="方正仿宋_GBK" w:cs="宋体"/>
                <w:color w:val="auto"/>
                <w:kern w:val="0"/>
                <w:sz w:val="22"/>
                <w:highlight w:val="none"/>
              </w:rPr>
              <w:t>3768.35</w:t>
            </w:r>
          </w:p>
        </w:tc>
        <w:tc>
          <w:tcPr>
            <w:tcW w:w="1084" w:type="pct"/>
            <w:tcBorders>
              <w:top w:val="nil"/>
              <w:left w:val="single" w:color="auto" w:sz="4" w:space="0"/>
              <w:bottom w:val="nil"/>
              <w:right w:val="nil"/>
            </w:tcBorders>
            <w:shd w:val="clear" w:color="auto" w:fill="auto"/>
            <w:vAlign w:val="center"/>
          </w:tcPr>
          <w:p>
            <w:pPr>
              <w:jc w:val="right"/>
              <w:rPr>
                <w:rFonts w:ascii="方正仿宋_GBK" w:hAnsi="宋体" w:eastAsia="方正仿宋_GBK" w:cs="宋体"/>
                <w:color w:val="auto"/>
                <w:kern w:val="0"/>
                <w:sz w:val="22"/>
                <w:highlight w:val="none"/>
              </w:rPr>
            </w:pPr>
            <w:r>
              <w:rPr>
                <w:rFonts w:hint="eastAsia" w:ascii="方正仿宋_GBK" w:hAnsi="宋体" w:eastAsia="方正仿宋_GBK" w:cs="宋体"/>
                <w:color w:val="auto"/>
                <w:kern w:val="0"/>
                <w:sz w:val="22"/>
                <w:highlight w:val="none"/>
              </w:rPr>
              <w:t>15.9</w:t>
            </w:r>
          </w:p>
        </w:tc>
      </w:tr>
      <w:tr>
        <w:tblPrEx>
          <w:tblCellMar>
            <w:top w:w="0" w:type="dxa"/>
            <w:left w:w="108" w:type="dxa"/>
            <w:bottom w:w="0" w:type="dxa"/>
            <w:right w:w="108" w:type="dxa"/>
          </w:tblCellMar>
        </w:tblPrEx>
        <w:trPr>
          <w:trHeight w:val="402" w:hRule="atLeast"/>
          <w:jc w:val="center"/>
        </w:trPr>
        <w:tc>
          <w:tcPr>
            <w:tcW w:w="2830" w:type="pct"/>
            <w:tcBorders>
              <w:top w:val="nil"/>
              <w:left w:val="nil"/>
              <w:bottom w:val="nil"/>
              <w:right w:val="single" w:color="auto" w:sz="4" w:space="0"/>
            </w:tcBorders>
            <w:shd w:val="clear" w:color="auto" w:fill="auto"/>
            <w:noWrap/>
            <w:vAlign w:val="center"/>
          </w:tcPr>
          <w:p>
            <w:pPr>
              <w:widowControl/>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本外币贷款余额</w:t>
            </w:r>
          </w:p>
        </w:tc>
        <w:tc>
          <w:tcPr>
            <w:tcW w:w="1084" w:type="pct"/>
            <w:tcBorders>
              <w:top w:val="nil"/>
              <w:left w:val="nil"/>
              <w:bottom w:val="nil"/>
              <w:right w:val="nil"/>
            </w:tcBorders>
            <w:shd w:val="clear" w:color="auto" w:fill="auto"/>
            <w:noWrap/>
            <w:vAlign w:val="center"/>
          </w:tcPr>
          <w:p>
            <w:pPr>
              <w:widowControl/>
              <w:jc w:val="right"/>
              <w:rPr>
                <w:rFonts w:ascii="方正仿宋_GBK" w:hAnsi="宋体" w:eastAsia="方正仿宋_GBK" w:cs="宋体"/>
                <w:color w:val="auto"/>
                <w:kern w:val="0"/>
                <w:sz w:val="22"/>
                <w:highlight w:val="none"/>
              </w:rPr>
            </w:pPr>
            <w:r>
              <w:rPr>
                <w:rFonts w:hint="eastAsia" w:ascii="方正仿宋_GBK" w:hAnsi="宋体" w:eastAsia="方正仿宋_GBK" w:cs="宋体"/>
                <w:color w:val="auto"/>
                <w:kern w:val="0"/>
                <w:sz w:val="22"/>
                <w:highlight w:val="none"/>
              </w:rPr>
              <w:t>19975.25</w:t>
            </w:r>
          </w:p>
        </w:tc>
        <w:tc>
          <w:tcPr>
            <w:tcW w:w="1084" w:type="pct"/>
            <w:tcBorders>
              <w:top w:val="nil"/>
              <w:left w:val="single" w:color="auto" w:sz="4" w:space="0"/>
              <w:bottom w:val="nil"/>
              <w:right w:val="nil"/>
            </w:tcBorders>
            <w:shd w:val="clear" w:color="auto" w:fill="auto"/>
            <w:vAlign w:val="center"/>
          </w:tcPr>
          <w:p>
            <w:pPr>
              <w:jc w:val="right"/>
              <w:rPr>
                <w:rFonts w:ascii="方正仿宋_GBK" w:hAnsi="宋体" w:eastAsia="方正仿宋_GBK" w:cs="宋体"/>
                <w:color w:val="auto"/>
                <w:kern w:val="0"/>
                <w:sz w:val="22"/>
                <w:highlight w:val="none"/>
              </w:rPr>
            </w:pPr>
            <w:r>
              <w:rPr>
                <w:rFonts w:hint="eastAsia" w:ascii="方正仿宋_GBK" w:hAnsi="宋体" w:eastAsia="方正仿宋_GBK" w:cs="宋体"/>
                <w:color w:val="auto"/>
                <w:kern w:val="0"/>
                <w:sz w:val="22"/>
                <w:highlight w:val="none"/>
              </w:rPr>
              <w:t>7.4</w:t>
            </w:r>
          </w:p>
        </w:tc>
      </w:tr>
      <w:tr>
        <w:tblPrEx>
          <w:tblCellMar>
            <w:top w:w="0" w:type="dxa"/>
            <w:left w:w="108" w:type="dxa"/>
            <w:bottom w:w="0" w:type="dxa"/>
            <w:right w:w="108" w:type="dxa"/>
          </w:tblCellMar>
        </w:tblPrEx>
        <w:trPr>
          <w:trHeight w:val="402" w:hRule="atLeast"/>
          <w:jc w:val="center"/>
        </w:trPr>
        <w:tc>
          <w:tcPr>
            <w:tcW w:w="2830" w:type="pct"/>
            <w:tcBorders>
              <w:top w:val="nil"/>
              <w:left w:val="nil"/>
              <w:bottom w:val="nil"/>
              <w:right w:val="single" w:color="auto" w:sz="4" w:space="0"/>
            </w:tcBorders>
            <w:shd w:val="clear" w:color="auto" w:fill="auto"/>
            <w:noWrap/>
            <w:vAlign w:val="center"/>
          </w:tcPr>
          <w:p>
            <w:pPr>
              <w:widowControl/>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 xml:space="preserve">   #本外币非银行业金融机构贷款</w:t>
            </w:r>
          </w:p>
        </w:tc>
        <w:tc>
          <w:tcPr>
            <w:tcW w:w="1084" w:type="pct"/>
            <w:tcBorders>
              <w:top w:val="nil"/>
              <w:left w:val="nil"/>
              <w:bottom w:val="nil"/>
              <w:right w:val="nil"/>
            </w:tcBorders>
            <w:shd w:val="clear" w:color="auto" w:fill="auto"/>
            <w:noWrap/>
            <w:vAlign w:val="center"/>
          </w:tcPr>
          <w:p>
            <w:pPr>
              <w:widowControl/>
              <w:jc w:val="right"/>
              <w:rPr>
                <w:rFonts w:ascii="方正仿宋_GBK" w:hAnsi="宋体" w:eastAsia="方正仿宋_GBK" w:cs="宋体"/>
                <w:color w:val="auto"/>
                <w:kern w:val="0"/>
                <w:sz w:val="22"/>
                <w:highlight w:val="none"/>
              </w:rPr>
            </w:pPr>
            <w:r>
              <w:rPr>
                <w:rFonts w:hint="eastAsia" w:ascii="方正仿宋_GBK" w:hAnsi="宋体" w:eastAsia="方正仿宋_GBK" w:cs="宋体"/>
                <w:color w:val="auto"/>
                <w:kern w:val="0"/>
                <w:sz w:val="22"/>
                <w:highlight w:val="none"/>
              </w:rPr>
              <w:t>34.07</w:t>
            </w:r>
          </w:p>
        </w:tc>
        <w:tc>
          <w:tcPr>
            <w:tcW w:w="1084" w:type="pct"/>
            <w:tcBorders>
              <w:top w:val="nil"/>
              <w:left w:val="single" w:color="auto" w:sz="4" w:space="0"/>
              <w:bottom w:val="nil"/>
              <w:right w:val="nil"/>
            </w:tcBorders>
            <w:shd w:val="clear" w:color="auto" w:fill="auto"/>
            <w:vAlign w:val="center"/>
          </w:tcPr>
          <w:p>
            <w:pPr>
              <w:widowControl/>
              <w:jc w:val="right"/>
              <w:rPr>
                <w:rFonts w:ascii="方正仿宋_GBK" w:hAnsi="宋体" w:eastAsia="方正仿宋_GBK" w:cs="宋体"/>
                <w:color w:val="auto"/>
                <w:kern w:val="0"/>
                <w:sz w:val="22"/>
                <w:highlight w:val="none"/>
              </w:rPr>
            </w:pPr>
          </w:p>
        </w:tc>
      </w:tr>
      <w:tr>
        <w:tblPrEx>
          <w:tblCellMar>
            <w:top w:w="0" w:type="dxa"/>
            <w:left w:w="108" w:type="dxa"/>
            <w:bottom w:w="0" w:type="dxa"/>
            <w:right w:w="108" w:type="dxa"/>
          </w:tblCellMar>
        </w:tblPrEx>
        <w:trPr>
          <w:trHeight w:val="402" w:hRule="atLeast"/>
          <w:jc w:val="center"/>
        </w:trPr>
        <w:tc>
          <w:tcPr>
            <w:tcW w:w="2830" w:type="pct"/>
            <w:tcBorders>
              <w:top w:val="nil"/>
              <w:left w:val="nil"/>
              <w:bottom w:val="nil"/>
              <w:right w:val="single" w:color="auto" w:sz="4" w:space="0"/>
            </w:tcBorders>
            <w:shd w:val="clear" w:color="auto" w:fill="auto"/>
            <w:noWrap/>
            <w:vAlign w:val="center"/>
          </w:tcPr>
          <w:p>
            <w:pPr>
              <w:widowControl/>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　　人民币贷款余额</w:t>
            </w:r>
          </w:p>
        </w:tc>
        <w:tc>
          <w:tcPr>
            <w:tcW w:w="1084" w:type="pct"/>
            <w:tcBorders>
              <w:top w:val="nil"/>
              <w:left w:val="nil"/>
              <w:bottom w:val="nil"/>
              <w:right w:val="nil"/>
            </w:tcBorders>
            <w:shd w:val="clear" w:color="auto" w:fill="auto"/>
            <w:noWrap/>
            <w:vAlign w:val="center"/>
          </w:tcPr>
          <w:p>
            <w:pPr>
              <w:widowControl/>
              <w:jc w:val="right"/>
              <w:rPr>
                <w:rFonts w:ascii="方正仿宋_GBK" w:hAnsi="宋体" w:eastAsia="方正仿宋_GBK" w:cs="宋体"/>
                <w:color w:val="auto"/>
                <w:kern w:val="0"/>
                <w:sz w:val="22"/>
                <w:highlight w:val="none"/>
              </w:rPr>
            </w:pPr>
            <w:r>
              <w:rPr>
                <w:rFonts w:hint="eastAsia" w:ascii="方正仿宋_GBK" w:hAnsi="宋体" w:eastAsia="方正仿宋_GBK" w:cs="宋体"/>
                <w:color w:val="auto"/>
                <w:kern w:val="0"/>
                <w:sz w:val="22"/>
                <w:highlight w:val="none"/>
              </w:rPr>
              <w:t>19502.24</w:t>
            </w:r>
          </w:p>
        </w:tc>
        <w:tc>
          <w:tcPr>
            <w:tcW w:w="1084" w:type="pct"/>
            <w:tcBorders>
              <w:top w:val="nil"/>
              <w:left w:val="single" w:color="auto" w:sz="4" w:space="0"/>
              <w:bottom w:val="nil"/>
              <w:right w:val="nil"/>
            </w:tcBorders>
            <w:shd w:val="clear" w:color="auto" w:fill="auto"/>
            <w:vAlign w:val="center"/>
          </w:tcPr>
          <w:p>
            <w:pPr>
              <w:jc w:val="right"/>
              <w:rPr>
                <w:rFonts w:ascii="方正仿宋_GBK" w:hAnsi="宋体" w:eastAsia="方正仿宋_GBK" w:cs="宋体"/>
                <w:color w:val="auto"/>
                <w:kern w:val="0"/>
                <w:sz w:val="22"/>
                <w:highlight w:val="none"/>
              </w:rPr>
            </w:pPr>
            <w:r>
              <w:rPr>
                <w:rFonts w:hint="eastAsia" w:ascii="方正仿宋_GBK" w:hAnsi="宋体" w:eastAsia="方正仿宋_GBK" w:cs="宋体"/>
                <w:color w:val="auto"/>
                <w:kern w:val="0"/>
                <w:sz w:val="22"/>
                <w:highlight w:val="none"/>
              </w:rPr>
              <w:t>7.9</w:t>
            </w:r>
          </w:p>
        </w:tc>
      </w:tr>
      <w:tr>
        <w:tblPrEx>
          <w:tblCellMar>
            <w:top w:w="0" w:type="dxa"/>
            <w:left w:w="108" w:type="dxa"/>
            <w:bottom w:w="0" w:type="dxa"/>
            <w:right w:w="108" w:type="dxa"/>
          </w:tblCellMar>
        </w:tblPrEx>
        <w:trPr>
          <w:trHeight w:val="402" w:hRule="atLeast"/>
          <w:jc w:val="center"/>
        </w:trPr>
        <w:tc>
          <w:tcPr>
            <w:tcW w:w="2830" w:type="pct"/>
            <w:tcBorders>
              <w:top w:val="nil"/>
              <w:left w:val="nil"/>
              <w:bottom w:val="nil"/>
              <w:right w:val="single" w:color="auto" w:sz="4" w:space="0"/>
            </w:tcBorders>
            <w:shd w:val="clear" w:color="auto" w:fill="auto"/>
            <w:noWrap/>
            <w:vAlign w:val="center"/>
          </w:tcPr>
          <w:p>
            <w:pPr>
              <w:widowControl/>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　　　#短期贷款余额</w:t>
            </w:r>
          </w:p>
        </w:tc>
        <w:tc>
          <w:tcPr>
            <w:tcW w:w="1084" w:type="pct"/>
            <w:tcBorders>
              <w:top w:val="nil"/>
              <w:left w:val="nil"/>
              <w:bottom w:val="nil"/>
              <w:right w:val="nil"/>
            </w:tcBorders>
            <w:shd w:val="clear" w:color="auto" w:fill="auto"/>
            <w:noWrap/>
            <w:vAlign w:val="center"/>
          </w:tcPr>
          <w:p>
            <w:pPr>
              <w:widowControl/>
              <w:jc w:val="right"/>
              <w:rPr>
                <w:rFonts w:ascii="方正仿宋_GBK" w:hAnsi="宋体" w:eastAsia="方正仿宋_GBK" w:cs="宋体"/>
                <w:color w:val="auto"/>
                <w:kern w:val="0"/>
                <w:sz w:val="22"/>
                <w:highlight w:val="none"/>
              </w:rPr>
            </w:pPr>
            <w:r>
              <w:rPr>
                <w:rFonts w:hint="eastAsia" w:ascii="方正仿宋_GBK" w:hAnsi="宋体" w:eastAsia="方正仿宋_GBK" w:cs="宋体"/>
                <w:color w:val="auto"/>
                <w:kern w:val="0"/>
                <w:sz w:val="22"/>
                <w:highlight w:val="none"/>
              </w:rPr>
              <w:t>3540.26</w:t>
            </w:r>
          </w:p>
        </w:tc>
        <w:tc>
          <w:tcPr>
            <w:tcW w:w="1084" w:type="pct"/>
            <w:tcBorders>
              <w:top w:val="nil"/>
              <w:left w:val="single" w:color="auto" w:sz="4" w:space="0"/>
              <w:bottom w:val="nil"/>
              <w:right w:val="nil"/>
            </w:tcBorders>
            <w:shd w:val="clear" w:color="auto" w:fill="auto"/>
            <w:vAlign w:val="center"/>
          </w:tcPr>
          <w:p>
            <w:pPr>
              <w:jc w:val="right"/>
              <w:rPr>
                <w:rFonts w:ascii="方正仿宋_GBK" w:hAnsi="宋体" w:eastAsia="方正仿宋_GBK" w:cs="宋体"/>
                <w:color w:val="auto"/>
                <w:kern w:val="0"/>
                <w:sz w:val="22"/>
                <w:highlight w:val="none"/>
              </w:rPr>
            </w:pPr>
            <w:r>
              <w:rPr>
                <w:rFonts w:hint="eastAsia" w:ascii="方正仿宋_GBK" w:hAnsi="宋体" w:eastAsia="方正仿宋_GBK" w:cs="宋体"/>
                <w:color w:val="auto"/>
                <w:kern w:val="0"/>
                <w:sz w:val="22"/>
                <w:highlight w:val="none"/>
              </w:rPr>
              <w:t>16.2</w:t>
            </w:r>
          </w:p>
        </w:tc>
      </w:tr>
      <w:tr>
        <w:tblPrEx>
          <w:tblCellMar>
            <w:top w:w="0" w:type="dxa"/>
            <w:left w:w="108" w:type="dxa"/>
            <w:bottom w:w="0" w:type="dxa"/>
            <w:right w:w="108" w:type="dxa"/>
          </w:tblCellMar>
        </w:tblPrEx>
        <w:trPr>
          <w:trHeight w:val="402" w:hRule="atLeast"/>
          <w:jc w:val="center"/>
        </w:trPr>
        <w:tc>
          <w:tcPr>
            <w:tcW w:w="2830" w:type="pct"/>
            <w:tcBorders>
              <w:top w:val="nil"/>
              <w:left w:val="nil"/>
              <w:bottom w:val="nil"/>
              <w:right w:val="single" w:color="auto" w:sz="4" w:space="0"/>
            </w:tcBorders>
            <w:shd w:val="clear" w:color="auto" w:fill="auto"/>
            <w:noWrap/>
            <w:vAlign w:val="center"/>
          </w:tcPr>
          <w:p>
            <w:pPr>
              <w:widowControl/>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 xml:space="preserve">       中长期贷款余额</w:t>
            </w:r>
          </w:p>
        </w:tc>
        <w:tc>
          <w:tcPr>
            <w:tcW w:w="1084" w:type="pct"/>
            <w:tcBorders>
              <w:top w:val="nil"/>
              <w:left w:val="nil"/>
              <w:bottom w:val="nil"/>
              <w:right w:val="nil"/>
            </w:tcBorders>
            <w:shd w:val="clear" w:color="auto" w:fill="auto"/>
            <w:noWrap/>
            <w:vAlign w:val="center"/>
          </w:tcPr>
          <w:p>
            <w:pPr>
              <w:widowControl/>
              <w:jc w:val="right"/>
              <w:rPr>
                <w:rFonts w:ascii="方正仿宋_GBK" w:hAnsi="宋体" w:eastAsia="方正仿宋_GBK" w:cs="宋体"/>
                <w:color w:val="auto"/>
                <w:kern w:val="0"/>
                <w:sz w:val="22"/>
                <w:highlight w:val="none"/>
              </w:rPr>
            </w:pPr>
            <w:r>
              <w:rPr>
                <w:rFonts w:hint="eastAsia" w:ascii="方正仿宋_GBK" w:hAnsi="宋体" w:eastAsia="方正仿宋_GBK" w:cs="宋体"/>
                <w:color w:val="auto"/>
                <w:kern w:val="0"/>
                <w:sz w:val="22"/>
                <w:highlight w:val="none"/>
              </w:rPr>
              <w:t>14295.54</w:t>
            </w:r>
          </w:p>
        </w:tc>
        <w:tc>
          <w:tcPr>
            <w:tcW w:w="1084" w:type="pct"/>
            <w:tcBorders>
              <w:top w:val="nil"/>
              <w:left w:val="single" w:color="auto" w:sz="4" w:space="0"/>
              <w:bottom w:val="nil"/>
              <w:right w:val="nil"/>
            </w:tcBorders>
            <w:shd w:val="clear" w:color="auto" w:fill="auto"/>
            <w:vAlign w:val="center"/>
          </w:tcPr>
          <w:p>
            <w:pPr>
              <w:jc w:val="right"/>
              <w:rPr>
                <w:rFonts w:ascii="方正仿宋_GBK" w:hAnsi="宋体" w:eastAsia="方正仿宋_GBK" w:cs="宋体"/>
                <w:color w:val="auto"/>
                <w:kern w:val="0"/>
                <w:sz w:val="22"/>
                <w:highlight w:val="none"/>
              </w:rPr>
            </w:pPr>
            <w:r>
              <w:rPr>
                <w:rFonts w:hint="eastAsia" w:ascii="方正仿宋_GBK" w:hAnsi="宋体" w:eastAsia="方正仿宋_GBK" w:cs="宋体"/>
                <w:color w:val="auto"/>
                <w:kern w:val="0"/>
                <w:sz w:val="22"/>
                <w:highlight w:val="none"/>
              </w:rPr>
              <w:t>6.0</w:t>
            </w:r>
          </w:p>
        </w:tc>
      </w:tr>
      <w:tr>
        <w:tblPrEx>
          <w:tblCellMar>
            <w:top w:w="0" w:type="dxa"/>
            <w:left w:w="108" w:type="dxa"/>
            <w:bottom w:w="0" w:type="dxa"/>
            <w:right w:w="108" w:type="dxa"/>
          </w:tblCellMar>
        </w:tblPrEx>
        <w:trPr>
          <w:trHeight w:val="528" w:hRule="atLeast"/>
          <w:jc w:val="center"/>
        </w:trPr>
        <w:tc>
          <w:tcPr>
            <w:tcW w:w="2830" w:type="pct"/>
            <w:tcBorders>
              <w:top w:val="nil"/>
              <w:left w:val="nil"/>
              <w:bottom w:val="single" w:color="auto" w:sz="8" w:space="0"/>
              <w:right w:val="single" w:color="auto" w:sz="4" w:space="0"/>
            </w:tcBorders>
            <w:shd w:val="clear" w:color="auto" w:fill="auto"/>
            <w:noWrap/>
            <w:vAlign w:val="center"/>
          </w:tcPr>
          <w:p>
            <w:pPr>
              <w:widowControl/>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 xml:space="preserve">         #个人中长期贷款余额</w:t>
            </w:r>
          </w:p>
        </w:tc>
        <w:tc>
          <w:tcPr>
            <w:tcW w:w="1084" w:type="pct"/>
            <w:tcBorders>
              <w:top w:val="nil"/>
              <w:left w:val="nil"/>
              <w:bottom w:val="single" w:color="auto" w:sz="8" w:space="0"/>
              <w:right w:val="nil"/>
            </w:tcBorders>
            <w:shd w:val="clear" w:color="auto" w:fill="auto"/>
            <w:noWrap/>
            <w:vAlign w:val="bottom"/>
          </w:tcPr>
          <w:p>
            <w:pPr>
              <w:widowControl/>
              <w:jc w:val="right"/>
              <w:rPr>
                <w:rFonts w:ascii="方正仿宋_GBK" w:hAnsi="宋体" w:eastAsia="方正仿宋_GBK" w:cs="宋体"/>
                <w:color w:val="auto"/>
                <w:kern w:val="0"/>
                <w:sz w:val="22"/>
                <w:highlight w:val="none"/>
              </w:rPr>
            </w:pPr>
            <w:r>
              <w:rPr>
                <w:rFonts w:hint="eastAsia" w:ascii="方正仿宋_GBK" w:hAnsi="宋体" w:eastAsia="方正仿宋_GBK" w:cs="宋体"/>
                <w:color w:val="auto"/>
                <w:kern w:val="0"/>
                <w:sz w:val="22"/>
                <w:highlight w:val="none"/>
              </w:rPr>
              <w:t>5628.32</w:t>
            </w:r>
          </w:p>
        </w:tc>
        <w:tc>
          <w:tcPr>
            <w:tcW w:w="1084" w:type="pct"/>
            <w:tcBorders>
              <w:top w:val="nil"/>
              <w:left w:val="single" w:color="auto" w:sz="4" w:space="0"/>
              <w:bottom w:val="single" w:color="auto" w:sz="8" w:space="0"/>
              <w:right w:val="nil"/>
            </w:tcBorders>
            <w:shd w:val="clear" w:color="auto" w:fill="auto"/>
            <w:vAlign w:val="bottom"/>
          </w:tcPr>
          <w:p>
            <w:pPr>
              <w:jc w:val="right"/>
              <w:rPr>
                <w:rFonts w:ascii="方正仿宋_GBK" w:hAnsi="宋体" w:eastAsia="方正仿宋_GBK" w:cs="宋体"/>
                <w:color w:val="auto"/>
                <w:kern w:val="0"/>
                <w:sz w:val="22"/>
                <w:highlight w:val="none"/>
              </w:rPr>
            </w:pPr>
            <w:r>
              <w:rPr>
                <w:rFonts w:hint="eastAsia" w:ascii="方正仿宋_GBK" w:hAnsi="宋体" w:eastAsia="方正仿宋_GBK" w:cs="宋体"/>
                <w:color w:val="auto"/>
                <w:kern w:val="0"/>
                <w:sz w:val="22"/>
                <w:highlight w:val="none"/>
              </w:rPr>
              <w:t>1.0</w:t>
            </w:r>
          </w:p>
        </w:tc>
      </w:tr>
    </w:tbl>
    <w:p>
      <w:pPr>
        <w:snapToGrid w:val="0"/>
        <w:spacing w:before="0" w:after="0" w:line="600" w:lineRule="exact"/>
        <w:ind w:right="45" w:firstLine="645"/>
        <w:jc w:val="both"/>
        <w:rPr>
          <w:rFonts w:hint="eastAsia" w:ascii="仿宋" w:hAnsi="仿宋" w:eastAsia="仿宋"/>
          <w:color w:val="FF0000"/>
          <w:kern w:val="0"/>
          <w:sz w:val="32"/>
          <w:szCs w:val="32"/>
          <w:highlight w:val="none"/>
        </w:rPr>
      </w:pPr>
      <w:r>
        <w:rPr>
          <w:rFonts w:hint="eastAsia" w:ascii="仿宋" w:hAnsi="仿宋" w:eastAsia="仿宋"/>
          <w:color w:val="auto"/>
          <w:kern w:val="0"/>
          <w:sz w:val="32"/>
          <w:szCs w:val="32"/>
          <w:highlight w:val="none"/>
        </w:rPr>
        <w:t>全区共有证券公司总部1家。境内上市公司25家，总股本906.5亿股，股票总市值7464.18亿元。全年全区通过境内证券市场IPO和增发股票26.17亿股。</w:t>
      </w:r>
    </w:p>
    <w:p>
      <w:pPr>
        <w:snapToGrid w:val="0"/>
        <w:spacing w:before="0" w:after="0" w:line="600" w:lineRule="exact"/>
        <w:ind w:right="45" w:firstLine="645"/>
        <w:jc w:val="both"/>
        <w:rPr>
          <w:rFonts w:ascii="方正黑体_GBK" w:hAnsi="方正黑体_GBK" w:eastAsia="方正黑体_GBK"/>
          <w:color w:val="auto"/>
          <w:kern w:val="0"/>
          <w:sz w:val="32"/>
          <w:szCs w:val="32"/>
        </w:rPr>
      </w:pPr>
      <w:r>
        <w:rPr>
          <w:rFonts w:ascii="方正黑体_GBK" w:hAnsi="方正黑体_GBK" w:eastAsia="方正黑体_GBK"/>
          <w:color w:val="auto"/>
          <w:kern w:val="0"/>
          <w:sz w:val="32"/>
          <w:szCs w:val="32"/>
        </w:rPr>
        <w:t>八、居民收入</w:t>
      </w:r>
    </w:p>
    <w:p>
      <w:pPr>
        <w:snapToGrid w:val="0"/>
        <w:spacing w:before="0" w:after="0" w:line="600" w:lineRule="exact"/>
        <w:ind w:firstLine="645"/>
        <w:jc w:val="both"/>
        <w:rPr>
          <w:rFonts w:ascii="仿宋" w:hAnsi="仿宋" w:eastAsia="仿宋"/>
          <w:color w:val="auto"/>
          <w:kern w:val="0"/>
          <w:sz w:val="32"/>
          <w:szCs w:val="32"/>
          <w:highlight w:val="none"/>
        </w:rPr>
      </w:pPr>
      <w:r>
        <w:rPr>
          <w:rFonts w:hint="eastAsia" w:ascii="仿宋" w:hAnsi="仿宋" w:eastAsia="仿宋"/>
          <w:color w:val="auto"/>
          <w:kern w:val="0"/>
          <w:sz w:val="32"/>
          <w:szCs w:val="32"/>
          <w:highlight w:val="none"/>
        </w:rPr>
        <w:t>全区居民人均可支配收入51427元，比上年增长6.3%。按常住地分，城镇居民人均可支配收入51822元，增长4.5%；农村居民人均可支配收入27436元，增长5.9%。</w:t>
      </w:r>
    </w:p>
    <w:p>
      <w:pPr>
        <w:snapToGrid w:val="0"/>
        <w:spacing w:before="0" w:after="0" w:line="600" w:lineRule="exact"/>
        <w:ind w:firstLineChars="200"/>
        <w:jc w:val="both"/>
        <w:rPr>
          <w:rFonts w:ascii="方正黑体_GBK" w:hAnsi="方正黑体_GBK" w:eastAsia="方正黑体_GBK"/>
          <w:color w:val="auto"/>
          <w:kern w:val="0"/>
          <w:sz w:val="32"/>
          <w:szCs w:val="32"/>
        </w:rPr>
      </w:pPr>
      <w:r>
        <w:rPr>
          <w:rFonts w:ascii="方正黑体_GBK" w:hAnsi="方正黑体_GBK" w:eastAsia="方正黑体_GBK"/>
          <w:color w:val="auto"/>
          <w:kern w:val="0"/>
          <w:sz w:val="32"/>
          <w:szCs w:val="32"/>
        </w:rPr>
        <w:t>九、招商引资</w:t>
      </w:r>
    </w:p>
    <w:p>
      <w:pPr>
        <w:snapToGrid w:val="0"/>
        <w:spacing w:before="0" w:after="0" w:line="600" w:lineRule="exact"/>
        <w:ind w:firstLineChars="200"/>
        <w:jc w:val="both"/>
        <w:rPr>
          <w:rFonts w:hint="eastAsia" w:ascii="仿宋" w:hAnsi="仿宋" w:eastAsia="仿宋"/>
          <w:color w:val="auto"/>
          <w:kern w:val="0"/>
          <w:sz w:val="32"/>
          <w:szCs w:val="32"/>
          <w:highlight w:val="none"/>
        </w:rPr>
      </w:pPr>
      <w:r>
        <w:rPr>
          <w:rFonts w:hint="eastAsia" w:ascii="仿宋" w:hAnsi="仿宋" w:eastAsia="仿宋"/>
          <w:color w:val="auto"/>
          <w:kern w:val="0"/>
          <w:sz w:val="32"/>
          <w:szCs w:val="32"/>
          <w:highlight w:val="none"/>
          <w:lang w:val="en-US" w:eastAsia="zh-CN"/>
        </w:rPr>
        <w:t>2022年，直管区</w:t>
      </w:r>
      <w:r>
        <w:rPr>
          <w:rFonts w:hint="eastAsia" w:ascii="仿宋" w:hAnsi="仿宋" w:eastAsia="仿宋"/>
          <w:color w:val="auto"/>
          <w:kern w:val="0"/>
          <w:sz w:val="32"/>
          <w:szCs w:val="32"/>
          <w:highlight w:val="none"/>
        </w:rPr>
        <w:t>纳入市招商投资局统计签约项目107个，合同投资总额1410.66亿元，比去年净增33.58亿元，占全市合同投资总额的7.9%，完成市招商投资局下达1400亿元目标任务的100.8%。其中，工业项目合同投资额900.23亿元，完成700亿元目标任务的128.6%。</w:t>
      </w:r>
    </w:p>
    <w:p>
      <w:pPr>
        <w:snapToGrid w:val="0"/>
        <w:spacing w:before="0" w:after="0" w:line="600" w:lineRule="exact"/>
        <w:ind w:firstLineChars="200"/>
        <w:jc w:val="both"/>
        <w:rPr>
          <w:rFonts w:hint="eastAsia" w:ascii="仿宋" w:hAnsi="仿宋" w:eastAsia="仿宋"/>
          <w:color w:val="auto"/>
          <w:kern w:val="0"/>
          <w:sz w:val="32"/>
          <w:szCs w:val="32"/>
          <w:highlight w:val="none"/>
        </w:rPr>
      </w:pPr>
      <w:r>
        <w:rPr>
          <w:rFonts w:hint="eastAsia" w:ascii="仿宋" w:hAnsi="仿宋" w:eastAsia="仿宋"/>
          <w:color w:val="auto"/>
          <w:kern w:val="0"/>
          <w:sz w:val="32"/>
          <w:szCs w:val="32"/>
          <w:highlight w:val="none"/>
        </w:rPr>
        <w:t>新签约二百亿级项目1个（中国星网），百亿级项目4个（保税绿色科创园仁宝智能制造基地、赣锋锂电、幸福千万家、理想汽车），10亿级项目31个。</w:t>
      </w:r>
    </w:p>
    <w:p>
      <w:pPr>
        <w:snapToGrid w:val="0"/>
        <w:spacing w:before="0" w:after="0" w:line="600" w:lineRule="exact"/>
        <w:ind w:firstLineChars="200"/>
        <w:jc w:val="both"/>
        <w:rPr>
          <w:rFonts w:hint="eastAsia" w:ascii="仿宋" w:hAnsi="仿宋" w:eastAsia="仿宋"/>
          <w:color w:val="FF0000"/>
          <w:kern w:val="0"/>
          <w:sz w:val="32"/>
          <w:szCs w:val="32"/>
          <w:highlight w:val="none"/>
        </w:rPr>
      </w:pPr>
      <w:r>
        <w:rPr>
          <w:rFonts w:hint="eastAsia" w:ascii="仿宋" w:hAnsi="仿宋" w:eastAsia="仿宋"/>
          <w:color w:val="auto"/>
          <w:kern w:val="0"/>
          <w:sz w:val="32"/>
          <w:szCs w:val="32"/>
          <w:highlight w:val="none"/>
        </w:rPr>
        <w:t>投资100亿元及以上项目5个，合同投资额650亿元，占总额的46%；投资10-50亿元项目31个，合同投资额580.28亿元，占总额的41.41%。</w:t>
      </w:r>
    </w:p>
    <w:p>
      <w:pPr>
        <w:snapToGrid w:val="0"/>
        <w:spacing w:before="0" w:after="0" w:line="600" w:lineRule="exact"/>
        <w:ind w:firstLineChars="200"/>
        <w:jc w:val="both"/>
        <w:rPr>
          <w:rFonts w:ascii="方正黑体_GBK" w:hAnsi="方正黑体_GBK" w:eastAsia="方正黑体_GBK"/>
          <w:color w:val="auto"/>
          <w:kern w:val="0"/>
          <w:sz w:val="32"/>
          <w:szCs w:val="32"/>
        </w:rPr>
      </w:pPr>
      <w:r>
        <w:rPr>
          <w:rFonts w:ascii="方正黑体_GBK" w:hAnsi="方正黑体_GBK" w:eastAsia="方正黑体_GBK"/>
          <w:color w:val="auto"/>
          <w:kern w:val="0"/>
          <w:sz w:val="32"/>
          <w:szCs w:val="32"/>
        </w:rPr>
        <w:t>十、科学技术</w:t>
      </w:r>
    </w:p>
    <w:p>
      <w:pPr>
        <w:snapToGrid w:val="0"/>
        <w:spacing w:before="0" w:after="0" w:line="600" w:lineRule="exact"/>
        <w:ind w:firstLine="645"/>
        <w:jc w:val="both"/>
        <w:rPr>
          <w:rFonts w:hint="eastAsia" w:ascii="仿宋" w:hAnsi="仿宋" w:eastAsia="仿宋"/>
          <w:color w:val="auto"/>
          <w:kern w:val="0"/>
          <w:sz w:val="32"/>
          <w:szCs w:val="32"/>
          <w:highlight w:val="none"/>
        </w:rPr>
      </w:pPr>
      <w:r>
        <w:rPr>
          <w:rFonts w:hint="eastAsia" w:ascii="仿宋" w:hAnsi="仿宋" w:eastAsia="仿宋"/>
          <w:color w:val="auto"/>
          <w:kern w:val="0"/>
          <w:sz w:val="32"/>
          <w:szCs w:val="32"/>
          <w:highlight w:val="none"/>
          <w:lang w:eastAsia="zh-CN"/>
        </w:rPr>
        <w:t>全年直管区</w:t>
      </w:r>
      <w:r>
        <w:rPr>
          <w:rFonts w:hint="eastAsia" w:ascii="仿宋" w:hAnsi="仿宋" w:eastAsia="仿宋"/>
          <w:color w:val="auto"/>
          <w:kern w:val="0"/>
          <w:sz w:val="32"/>
          <w:szCs w:val="32"/>
          <w:highlight w:val="none"/>
        </w:rPr>
        <w:t>研究与试验发展（R&amp;D）经费支出占全区地区生产总值的比重约为</w:t>
      </w:r>
      <w:r>
        <w:rPr>
          <w:rFonts w:hint="eastAsia" w:ascii="仿宋" w:hAnsi="仿宋" w:eastAsia="仿宋"/>
          <w:color w:val="auto"/>
          <w:kern w:val="0"/>
          <w:sz w:val="32"/>
          <w:szCs w:val="32"/>
          <w:highlight w:val="none"/>
          <w:lang w:val="en-US" w:eastAsia="zh-CN"/>
        </w:rPr>
        <w:t>4.6</w:t>
      </w:r>
      <w:r>
        <w:rPr>
          <w:rFonts w:hint="eastAsia" w:ascii="仿宋" w:hAnsi="仿宋" w:eastAsia="仿宋"/>
          <w:color w:val="auto"/>
          <w:kern w:val="0"/>
          <w:sz w:val="32"/>
          <w:szCs w:val="32"/>
          <w:highlight w:val="none"/>
        </w:rPr>
        <w:t>%。</w:t>
      </w:r>
    </w:p>
    <w:p>
      <w:pPr>
        <w:snapToGrid w:val="0"/>
        <w:spacing w:before="0" w:after="0" w:line="600" w:lineRule="exact"/>
        <w:ind w:firstLine="645"/>
        <w:jc w:val="both"/>
        <w:rPr>
          <w:rFonts w:ascii="仿宋" w:hAnsi="仿宋" w:eastAsia="仿宋"/>
          <w:color w:val="FF0000"/>
          <w:kern w:val="0"/>
          <w:sz w:val="32"/>
          <w:szCs w:val="32"/>
          <w:highlight w:val="none"/>
        </w:rPr>
      </w:pPr>
      <w:r>
        <w:rPr>
          <w:rFonts w:hint="eastAsia" w:ascii="仿宋" w:hAnsi="仿宋" w:eastAsia="仿宋"/>
          <w:color w:val="auto"/>
          <w:kern w:val="0"/>
          <w:sz w:val="32"/>
          <w:szCs w:val="32"/>
          <w:highlight w:val="none"/>
        </w:rPr>
        <w:t>直管区创新主体加快成长，高新技术企业新增177家、累计突破780家、占全市12%，高新技术企业申报量和存量均居全市第一；科技型企业新增超700家、累计达4030家，新增142家市级“专精特新”，23家国家专精特新“小巨人”企业，居全市第一。创新要素加快集聚，获批市级重点实验室6个、累计17个，获批新型高端研发机构6家、累计26家，新增区级以上双创载体9家，总数达54家，获批国家级和市级博士后科研工作站23家，集聚院士团队15个、科研人员3500人。三大创新平台加快做大做强，两江协同创新区新引进高端科研院所10家、累计达50家，西工大重庆科创中心、协同创新区融合创新中心建成投用。礼嘉悦来智慧园打造了“智慧生活的一天”、工业互联网体验中心、悦•设创艺展示中心等应用场景，悦来智慧岛、礼嘉智慧馆建成投用。</w:t>
      </w:r>
    </w:p>
    <w:p>
      <w:pPr>
        <w:snapToGrid w:val="0"/>
        <w:spacing w:before="0" w:after="0" w:line="600" w:lineRule="exact"/>
        <w:jc w:val="left"/>
        <w:rPr>
          <w:rFonts w:hint="eastAsia" w:ascii="仿宋" w:hAnsi="仿宋" w:eastAsia="仿宋"/>
          <w:b/>
          <w:bCs/>
          <w:color w:val="FF0000"/>
          <w:kern w:val="0"/>
          <w:sz w:val="28"/>
          <w:szCs w:val="28"/>
          <w:lang w:val="en-US" w:eastAsia="zh-CN"/>
        </w:rPr>
      </w:pPr>
      <w:r>
        <w:rPr>
          <w:rFonts w:hint="eastAsia" w:ascii="仿宋" w:hAnsi="仿宋" w:eastAsia="仿宋"/>
          <w:b/>
          <w:bCs/>
          <w:color w:val="FF0000"/>
          <w:kern w:val="0"/>
          <w:sz w:val="28"/>
          <w:szCs w:val="28"/>
          <w:lang w:val="en-US" w:eastAsia="zh-CN"/>
        </w:rPr>
        <w:t xml:space="preserve"> </w:t>
      </w:r>
    </w:p>
    <w:p>
      <w:pPr>
        <w:snapToGrid w:val="0"/>
        <w:spacing w:before="0" w:after="0" w:line="600" w:lineRule="exact"/>
        <w:jc w:val="left"/>
        <w:rPr>
          <w:rFonts w:hint="eastAsia" w:ascii="仿宋" w:hAnsi="仿宋" w:eastAsia="仿宋"/>
          <w:b/>
          <w:bCs/>
          <w:color w:val="FF0000"/>
          <w:kern w:val="0"/>
          <w:sz w:val="28"/>
          <w:szCs w:val="28"/>
          <w:lang w:val="en-US" w:eastAsia="zh-CN"/>
        </w:rPr>
      </w:pPr>
    </w:p>
    <w:p>
      <w:pPr>
        <w:snapToGrid w:val="0"/>
        <w:spacing w:before="0" w:after="0" w:line="600" w:lineRule="exact"/>
        <w:ind w:firstLine="562" w:firstLineChars="200"/>
        <w:jc w:val="left"/>
        <w:rPr>
          <w:rFonts w:ascii="仿宋" w:hAnsi="仿宋" w:eastAsia="仿宋"/>
          <w:b/>
          <w:bCs/>
          <w:color w:val="auto"/>
          <w:kern w:val="0"/>
          <w:sz w:val="28"/>
          <w:szCs w:val="28"/>
        </w:rPr>
      </w:pPr>
      <w:r>
        <w:rPr>
          <w:rFonts w:ascii="仿宋" w:hAnsi="仿宋" w:eastAsia="仿宋"/>
          <w:b/>
          <w:bCs/>
          <w:color w:val="auto"/>
          <w:kern w:val="0"/>
          <w:sz w:val="28"/>
          <w:szCs w:val="28"/>
        </w:rPr>
        <w:t>注：</w:t>
      </w:r>
    </w:p>
    <w:p>
      <w:pPr>
        <w:snapToGrid w:val="0"/>
        <w:spacing w:before="0" w:after="0" w:line="600" w:lineRule="exact"/>
        <w:ind w:firstLine="555"/>
        <w:jc w:val="left"/>
        <w:rPr>
          <w:rFonts w:ascii="仿宋" w:hAnsi="仿宋" w:eastAsia="仿宋"/>
          <w:color w:val="auto"/>
          <w:kern w:val="0"/>
          <w:sz w:val="28"/>
          <w:szCs w:val="28"/>
        </w:rPr>
      </w:pPr>
      <w:r>
        <w:rPr>
          <w:rFonts w:ascii="宋体" w:hAnsi="宋体" w:eastAsia="宋体"/>
          <w:color w:val="auto"/>
          <w:kern w:val="0"/>
          <w:sz w:val="28"/>
          <w:szCs w:val="28"/>
        </w:rPr>
        <w:t>1.</w:t>
      </w:r>
      <w:r>
        <w:rPr>
          <w:rFonts w:ascii="仿宋" w:hAnsi="仿宋" w:eastAsia="仿宋"/>
          <w:color w:val="auto"/>
          <w:kern w:val="0"/>
          <w:sz w:val="28"/>
          <w:szCs w:val="28"/>
        </w:rPr>
        <w:t>按照《关于调整优化两江新区管理体制的决定》（渝委发﹝2016﹞7号），两江新区直管区域包括：鸳鸯、人和、天宫殿、翠云、大竹林、礼嘉、金山、康美等8个直属街道，鱼嘴镇、复盛镇、郭家沱街道、龙兴镇、石船镇、水土镇、复兴镇等7个建制街镇，以及保税港区、江北嘴、悦来投资集团、港务物流集团在两江新区范围内开发管理区域，共638平方公里。</w:t>
      </w:r>
    </w:p>
    <w:p>
      <w:pPr>
        <w:snapToGrid w:val="0"/>
        <w:spacing w:before="0" w:after="0" w:line="600" w:lineRule="exact"/>
        <w:ind w:firstLine="555"/>
        <w:jc w:val="left"/>
        <w:rPr>
          <w:rFonts w:ascii="仿宋" w:hAnsi="仿宋" w:eastAsia="仿宋"/>
          <w:color w:val="auto"/>
          <w:kern w:val="0"/>
          <w:sz w:val="28"/>
          <w:szCs w:val="28"/>
        </w:rPr>
      </w:pPr>
      <w:r>
        <w:rPr>
          <w:rFonts w:ascii="Times New Roman" w:hAnsi="Times New Roman" w:eastAsia="Times New Roman"/>
          <w:color w:val="auto"/>
          <w:kern w:val="0"/>
          <w:sz w:val="28"/>
          <w:szCs w:val="28"/>
        </w:rPr>
        <w:t>2.</w:t>
      </w:r>
      <w:r>
        <w:rPr>
          <w:rFonts w:ascii="仿宋" w:hAnsi="仿宋" w:eastAsia="仿宋"/>
          <w:color w:val="auto"/>
          <w:kern w:val="0"/>
          <w:sz w:val="28"/>
          <w:szCs w:val="28"/>
        </w:rPr>
        <w:t>本公报中</w:t>
      </w:r>
      <w:r>
        <w:rPr>
          <w:rFonts w:ascii="宋体" w:hAnsi="宋体" w:eastAsia="宋体"/>
          <w:color w:val="auto"/>
          <w:kern w:val="0"/>
          <w:sz w:val="28"/>
          <w:szCs w:val="28"/>
        </w:rPr>
        <w:t>202</w:t>
      </w:r>
      <w:r>
        <w:rPr>
          <w:rFonts w:hint="eastAsia" w:ascii="宋体" w:hAnsi="宋体" w:eastAsia="宋体"/>
          <w:color w:val="auto"/>
          <w:kern w:val="0"/>
          <w:sz w:val="28"/>
          <w:szCs w:val="28"/>
          <w:lang w:val="en-US" w:eastAsia="zh-CN"/>
        </w:rPr>
        <w:t>2</w:t>
      </w:r>
      <w:r>
        <w:rPr>
          <w:rFonts w:ascii="仿宋" w:hAnsi="仿宋" w:eastAsia="仿宋"/>
          <w:color w:val="auto"/>
          <w:kern w:val="0"/>
          <w:sz w:val="28"/>
          <w:szCs w:val="28"/>
        </w:rPr>
        <w:t>年数据均为初步统计数，部分数据因四舍五入的原因，存在与分项合计不等的情况。</w:t>
      </w:r>
    </w:p>
    <w:p>
      <w:pPr>
        <w:snapToGrid w:val="0"/>
        <w:spacing w:before="0" w:after="0" w:line="600" w:lineRule="exact"/>
        <w:ind w:firstLine="555"/>
        <w:jc w:val="left"/>
        <w:rPr>
          <w:rFonts w:ascii="仿宋" w:hAnsi="仿宋" w:eastAsia="仿宋"/>
          <w:color w:val="auto"/>
          <w:kern w:val="0"/>
          <w:sz w:val="28"/>
          <w:szCs w:val="28"/>
        </w:rPr>
      </w:pPr>
      <w:r>
        <w:rPr>
          <w:rFonts w:ascii="宋体" w:hAnsi="宋体" w:eastAsia="宋体"/>
          <w:color w:val="auto"/>
          <w:kern w:val="0"/>
          <w:sz w:val="28"/>
          <w:szCs w:val="28"/>
        </w:rPr>
        <w:t>3.</w:t>
      </w:r>
      <w:r>
        <w:rPr>
          <w:rFonts w:ascii="仿宋" w:hAnsi="仿宋" w:eastAsia="仿宋"/>
          <w:color w:val="auto"/>
          <w:kern w:val="0"/>
          <w:sz w:val="28"/>
          <w:szCs w:val="28"/>
        </w:rPr>
        <w:t>地区生产总值、各产业增加值绝对量按现价计算，增长速度按可比价计算。</w:t>
      </w:r>
    </w:p>
    <w:p>
      <w:pPr>
        <w:snapToGrid w:val="0"/>
        <w:spacing w:before="0" w:after="0" w:line="600" w:lineRule="exact"/>
        <w:ind w:firstLine="555"/>
        <w:jc w:val="left"/>
        <w:rPr>
          <w:rFonts w:ascii="仿宋" w:hAnsi="仿宋" w:eastAsia="仿宋"/>
          <w:color w:val="auto"/>
          <w:kern w:val="0"/>
          <w:sz w:val="28"/>
          <w:szCs w:val="28"/>
        </w:rPr>
      </w:pPr>
      <w:r>
        <w:rPr>
          <w:rFonts w:ascii="宋体" w:hAnsi="宋体" w:eastAsia="宋体"/>
          <w:color w:val="auto"/>
          <w:kern w:val="0"/>
          <w:sz w:val="28"/>
          <w:szCs w:val="28"/>
        </w:rPr>
        <w:t>4.</w:t>
      </w:r>
      <w:r>
        <w:rPr>
          <w:rFonts w:ascii="仿宋" w:hAnsi="仿宋" w:eastAsia="仿宋"/>
          <w:color w:val="auto"/>
          <w:kern w:val="0"/>
          <w:sz w:val="28"/>
          <w:szCs w:val="28"/>
        </w:rPr>
        <w:t>其他服务业包括农、林、牧、渔专业及辅助性活动，信息传输、软件和信息技术服务业，租赁和商务服务业，科学研究和技术服务业，水利、环境和公共设施管理业，居民服务、修理和其他服务业，教育，卫生和社会工作，文化、体育和娱乐业，公共管理、社会保障和社会组织等行业。</w:t>
      </w:r>
    </w:p>
    <w:p>
      <w:pPr>
        <w:snapToGrid w:val="0"/>
        <w:spacing w:before="0" w:after="0" w:line="600" w:lineRule="exact"/>
        <w:ind w:firstLine="555"/>
        <w:jc w:val="left"/>
        <w:rPr>
          <w:rFonts w:ascii="仿宋" w:hAnsi="仿宋" w:eastAsia="仿宋"/>
          <w:color w:val="auto"/>
          <w:kern w:val="0"/>
          <w:sz w:val="28"/>
          <w:szCs w:val="28"/>
        </w:rPr>
      </w:pPr>
      <w:r>
        <w:rPr>
          <w:rFonts w:ascii="宋体" w:hAnsi="宋体" w:eastAsia="宋体"/>
          <w:color w:val="auto"/>
          <w:kern w:val="0"/>
          <w:sz w:val="28"/>
          <w:szCs w:val="28"/>
        </w:rPr>
        <w:t>5.</w:t>
      </w:r>
      <w:r>
        <w:rPr>
          <w:rFonts w:ascii="仿宋" w:hAnsi="仿宋" w:eastAsia="仿宋"/>
          <w:color w:val="auto"/>
          <w:kern w:val="0"/>
          <w:sz w:val="28"/>
          <w:szCs w:val="28"/>
        </w:rPr>
        <w:t>常住人口是指在本乡镇（街道）居住半年以上的人口，或虽居住不满半年，但离开户口登记地半年以上人口以及户口待定人口。外出市外人口是指户口所在地为重庆市，现居住在重庆市外，离开户口登记地半年以上的人口。市外外来人口是指户口所在地为重庆市外，现居住在重庆市内，离开户口登记地半年以上的人口。</w:t>
      </w:r>
    </w:p>
    <w:p>
      <w:pPr>
        <w:snapToGrid w:val="0"/>
        <w:spacing w:before="0" w:after="0" w:line="600" w:lineRule="exact"/>
        <w:ind w:firstLine="555"/>
        <w:jc w:val="left"/>
        <w:rPr>
          <w:rFonts w:ascii="仿宋" w:hAnsi="仿宋" w:eastAsia="仿宋"/>
          <w:color w:val="auto"/>
          <w:kern w:val="0"/>
          <w:sz w:val="28"/>
          <w:szCs w:val="28"/>
        </w:rPr>
      </w:pPr>
      <w:r>
        <w:rPr>
          <w:rFonts w:ascii="宋体" w:hAnsi="宋体" w:eastAsia="宋体"/>
          <w:color w:val="auto"/>
          <w:kern w:val="0"/>
          <w:sz w:val="28"/>
          <w:szCs w:val="28"/>
        </w:rPr>
        <w:t>6.</w:t>
      </w:r>
      <w:r>
        <w:rPr>
          <w:rFonts w:ascii="仿宋" w:hAnsi="仿宋" w:eastAsia="仿宋"/>
          <w:color w:val="auto"/>
          <w:kern w:val="0"/>
          <w:sz w:val="28"/>
          <w:szCs w:val="28"/>
        </w:rPr>
        <w:t>高技术制造业包括医药制造业，航空、航天器及设备制造业，电子及通信设备制造业，计算机及办公设备制造业，医疗仪器设备及仪器仪表制造业，信息化学品制造业。</w:t>
      </w:r>
    </w:p>
    <w:p>
      <w:pPr>
        <w:snapToGrid w:val="0"/>
        <w:spacing w:before="0" w:after="0" w:line="600" w:lineRule="exact"/>
        <w:ind w:firstLine="555"/>
        <w:jc w:val="left"/>
        <w:rPr>
          <w:rFonts w:ascii="仿宋" w:hAnsi="仿宋" w:eastAsia="仿宋"/>
          <w:color w:val="auto"/>
          <w:kern w:val="0"/>
          <w:sz w:val="28"/>
          <w:szCs w:val="28"/>
        </w:rPr>
      </w:pPr>
      <w:r>
        <w:rPr>
          <w:rFonts w:ascii="宋体" w:hAnsi="宋体" w:eastAsia="宋体"/>
          <w:color w:val="auto"/>
          <w:kern w:val="0"/>
          <w:sz w:val="28"/>
          <w:szCs w:val="28"/>
        </w:rPr>
        <w:t>7.</w:t>
      </w:r>
      <w:r>
        <w:rPr>
          <w:rFonts w:ascii="仿宋" w:hAnsi="仿宋" w:eastAsia="仿宋"/>
          <w:color w:val="auto"/>
          <w:kern w:val="0"/>
          <w:sz w:val="28"/>
          <w:szCs w:val="28"/>
        </w:rPr>
        <w:t>工业战略性新兴制造业包括新一代信息技术产业，高端装备制造产业，新材料产业，生物产业，新能源汽车产业，新能源产业，节能环保产业和数字创意产业等八大产业中的工业相关行业。</w:t>
      </w:r>
    </w:p>
    <w:p>
      <w:pPr>
        <w:snapToGrid w:val="0"/>
        <w:spacing w:before="0" w:after="0" w:line="600" w:lineRule="exact"/>
        <w:ind w:firstLine="555"/>
        <w:jc w:val="left"/>
        <w:rPr>
          <w:rFonts w:ascii="仿宋" w:hAnsi="仿宋" w:eastAsia="仿宋"/>
          <w:color w:val="auto"/>
          <w:kern w:val="0"/>
          <w:sz w:val="28"/>
          <w:szCs w:val="28"/>
        </w:rPr>
      </w:pPr>
      <w:r>
        <w:rPr>
          <w:rFonts w:ascii="宋体" w:hAnsi="宋体" w:eastAsia="宋体"/>
          <w:color w:val="auto"/>
          <w:kern w:val="0"/>
          <w:sz w:val="28"/>
          <w:szCs w:val="28"/>
        </w:rPr>
        <w:t>8.</w:t>
      </w:r>
      <w:r>
        <w:rPr>
          <w:rFonts w:ascii="仿宋" w:hAnsi="仿宋" w:eastAsia="仿宋"/>
          <w:color w:val="auto"/>
          <w:kern w:val="0"/>
          <w:sz w:val="28"/>
          <w:szCs w:val="28"/>
        </w:rPr>
        <w:t>基础设施投资是指建造或购置为社会生产和生活提供基础性、大众性服务的工程和设施的支出。本公报中的基础设施投资包括电力、热力、燃气及水生产和供应业，交通运输、邮政业，电信、广播电视和卫星传输服务业，互联网和相关服务业，水利、环境和公共设施管理业投资。</w:t>
      </w:r>
    </w:p>
    <w:p>
      <w:pPr>
        <w:snapToGrid w:val="0"/>
        <w:spacing w:before="0" w:after="0" w:line="600" w:lineRule="exact"/>
        <w:ind w:firstLine="555"/>
        <w:jc w:val="left"/>
        <w:rPr>
          <w:rFonts w:ascii="仿宋" w:hAnsi="仿宋" w:eastAsia="仿宋"/>
          <w:color w:val="auto"/>
          <w:kern w:val="0"/>
          <w:sz w:val="28"/>
          <w:szCs w:val="28"/>
        </w:rPr>
      </w:pPr>
      <w:r>
        <w:rPr>
          <w:rFonts w:ascii="宋体" w:hAnsi="宋体" w:eastAsia="宋体"/>
          <w:color w:val="auto"/>
          <w:kern w:val="0"/>
          <w:sz w:val="28"/>
          <w:szCs w:val="28"/>
        </w:rPr>
        <w:t>9.</w:t>
      </w:r>
      <w:r>
        <w:rPr>
          <w:rFonts w:ascii="仿宋" w:hAnsi="仿宋" w:eastAsia="仿宋"/>
          <w:color w:val="auto"/>
          <w:kern w:val="0"/>
          <w:sz w:val="28"/>
          <w:szCs w:val="28"/>
        </w:rPr>
        <w:t>民间固定资产投资是指具有集体、私营、个人性质的内资企事业单位以及由其控股（包括绝对控股和相对控股）的企业单位建造或购置固定资产的投资。</w:t>
      </w:r>
    </w:p>
    <w:p>
      <w:pPr>
        <w:snapToGrid w:val="0"/>
        <w:spacing w:before="0" w:after="0" w:line="600" w:lineRule="exact"/>
        <w:ind w:firstLine="555"/>
        <w:jc w:val="left"/>
        <w:rPr>
          <w:rFonts w:ascii="仿宋" w:hAnsi="仿宋" w:eastAsia="仿宋"/>
          <w:color w:val="auto"/>
          <w:kern w:val="0"/>
          <w:sz w:val="28"/>
          <w:szCs w:val="28"/>
        </w:rPr>
      </w:pPr>
      <w:r>
        <w:rPr>
          <w:rFonts w:ascii="仿宋" w:hAnsi="仿宋" w:eastAsia="仿宋"/>
          <w:color w:val="auto"/>
          <w:kern w:val="0"/>
          <w:sz w:val="28"/>
          <w:szCs w:val="28"/>
        </w:rPr>
        <w:t>10.行业统计标准：</w:t>
      </w:r>
    </w:p>
    <w:p>
      <w:pPr>
        <w:snapToGrid w:val="0"/>
        <w:spacing w:before="0" w:after="0" w:line="600" w:lineRule="exact"/>
        <w:ind w:firstLine="555"/>
        <w:jc w:val="left"/>
        <w:rPr>
          <w:rFonts w:ascii="仿宋" w:hAnsi="仿宋" w:eastAsia="仿宋"/>
          <w:color w:val="auto"/>
          <w:kern w:val="0"/>
          <w:sz w:val="28"/>
          <w:szCs w:val="28"/>
        </w:rPr>
      </w:pPr>
      <w:r>
        <w:rPr>
          <w:rFonts w:ascii="仿宋" w:hAnsi="仿宋" w:eastAsia="仿宋"/>
          <w:color w:val="auto"/>
          <w:kern w:val="0"/>
          <w:sz w:val="28"/>
          <w:szCs w:val="28"/>
        </w:rPr>
        <w:t>规模以上工业：年主营业务收入</w:t>
      </w:r>
      <w:r>
        <w:rPr>
          <w:rFonts w:ascii="宋体" w:hAnsi="宋体" w:eastAsia="宋体"/>
          <w:color w:val="auto"/>
          <w:kern w:val="0"/>
          <w:sz w:val="28"/>
          <w:szCs w:val="28"/>
        </w:rPr>
        <w:t>2000</w:t>
      </w:r>
      <w:r>
        <w:rPr>
          <w:rFonts w:ascii="仿宋" w:hAnsi="仿宋" w:eastAsia="仿宋"/>
          <w:color w:val="auto"/>
          <w:kern w:val="0"/>
          <w:sz w:val="28"/>
          <w:szCs w:val="28"/>
        </w:rPr>
        <w:t>万元及以上的工业法人单位。</w:t>
      </w:r>
    </w:p>
    <w:p>
      <w:pPr>
        <w:snapToGrid w:val="0"/>
        <w:spacing w:before="0" w:after="0" w:line="600" w:lineRule="exact"/>
        <w:ind w:firstLine="555"/>
        <w:jc w:val="left"/>
        <w:rPr>
          <w:rFonts w:ascii="仿宋" w:hAnsi="仿宋" w:eastAsia="仿宋"/>
          <w:color w:val="auto"/>
          <w:kern w:val="0"/>
          <w:sz w:val="28"/>
          <w:szCs w:val="28"/>
        </w:rPr>
      </w:pPr>
      <w:r>
        <w:rPr>
          <w:rFonts w:ascii="仿宋" w:hAnsi="仿宋" w:eastAsia="仿宋"/>
          <w:color w:val="auto"/>
          <w:kern w:val="0"/>
          <w:sz w:val="28"/>
          <w:szCs w:val="28"/>
        </w:rPr>
        <w:t>有资质的建筑业：有总承包和专业承包资质的建筑业法人单位。</w:t>
      </w:r>
    </w:p>
    <w:p>
      <w:pPr>
        <w:snapToGrid w:val="0"/>
        <w:spacing w:before="0" w:after="0" w:line="600" w:lineRule="exact"/>
        <w:ind w:firstLine="555"/>
        <w:jc w:val="left"/>
        <w:rPr>
          <w:rFonts w:ascii="仿宋" w:hAnsi="仿宋" w:eastAsia="仿宋"/>
          <w:color w:val="auto"/>
          <w:kern w:val="0"/>
          <w:sz w:val="28"/>
          <w:szCs w:val="28"/>
        </w:rPr>
      </w:pPr>
      <w:r>
        <w:rPr>
          <w:rFonts w:ascii="仿宋" w:hAnsi="仿宋" w:eastAsia="仿宋"/>
          <w:color w:val="auto"/>
          <w:kern w:val="0"/>
          <w:sz w:val="28"/>
          <w:szCs w:val="28"/>
        </w:rPr>
        <w:t>限额以上批发和零售业：年主营业务收入</w:t>
      </w:r>
      <w:r>
        <w:rPr>
          <w:rFonts w:ascii="宋体" w:hAnsi="宋体" w:eastAsia="宋体"/>
          <w:color w:val="auto"/>
          <w:kern w:val="0"/>
          <w:sz w:val="28"/>
          <w:szCs w:val="28"/>
        </w:rPr>
        <w:t>2000</w:t>
      </w:r>
      <w:r>
        <w:rPr>
          <w:rFonts w:ascii="仿宋" w:hAnsi="仿宋" w:eastAsia="仿宋"/>
          <w:color w:val="auto"/>
          <w:kern w:val="0"/>
          <w:sz w:val="28"/>
          <w:szCs w:val="28"/>
        </w:rPr>
        <w:t>万元及以上的批发业、年主营业务收入</w:t>
      </w:r>
      <w:r>
        <w:rPr>
          <w:rFonts w:ascii="宋体" w:hAnsi="宋体" w:eastAsia="宋体"/>
          <w:color w:val="auto"/>
          <w:kern w:val="0"/>
          <w:sz w:val="28"/>
          <w:szCs w:val="28"/>
        </w:rPr>
        <w:t>500</w:t>
      </w:r>
      <w:r>
        <w:rPr>
          <w:rFonts w:ascii="仿宋" w:hAnsi="仿宋" w:eastAsia="仿宋"/>
          <w:color w:val="auto"/>
          <w:kern w:val="0"/>
          <w:sz w:val="28"/>
          <w:szCs w:val="28"/>
        </w:rPr>
        <w:t>万元及以上的零售业法人单位。</w:t>
      </w:r>
    </w:p>
    <w:p>
      <w:pPr>
        <w:snapToGrid w:val="0"/>
        <w:spacing w:before="0" w:after="0" w:line="600" w:lineRule="exact"/>
        <w:ind w:firstLine="555"/>
        <w:jc w:val="left"/>
        <w:rPr>
          <w:rFonts w:ascii="仿宋" w:hAnsi="仿宋" w:eastAsia="仿宋"/>
          <w:color w:val="auto"/>
          <w:kern w:val="0"/>
          <w:sz w:val="28"/>
          <w:szCs w:val="28"/>
        </w:rPr>
      </w:pPr>
      <w:r>
        <w:rPr>
          <w:rFonts w:ascii="仿宋" w:hAnsi="仿宋" w:eastAsia="仿宋"/>
          <w:color w:val="auto"/>
          <w:kern w:val="0"/>
          <w:sz w:val="28"/>
          <w:szCs w:val="28"/>
        </w:rPr>
        <w:t>限额以上住宿和餐饮业：年主营业务收入</w:t>
      </w:r>
      <w:r>
        <w:rPr>
          <w:rFonts w:ascii="宋体" w:hAnsi="宋体" w:eastAsia="宋体"/>
          <w:color w:val="auto"/>
          <w:kern w:val="0"/>
          <w:sz w:val="28"/>
          <w:szCs w:val="28"/>
        </w:rPr>
        <w:t>200</w:t>
      </w:r>
      <w:r>
        <w:rPr>
          <w:rFonts w:ascii="仿宋" w:hAnsi="仿宋" w:eastAsia="仿宋"/>
          <w:color w:val="auto"/>
          <w:kern w:val="0"/>
          <w:sz w:val="28"/>
          <w:szCs w:val="28"/>
        </w:rPr>
        <w:t>万元及以上的住宿和餐饮业法人单位。</w:t>
      </w:r>
    </w:p>
    <w:p>
      <w:pPr>
        <w:snapToGrid w:val="0"/>
        <w:spacing w:before="0" w:after="0" w:line="600" w:lineRule="exact"/>
        <w:ind w:firstLine="555"/>
        <w:jc w:val="left"/>
        <w:rPr>
          <w:rFonts w:ascii="仿宋" w:hAnsi="仿宋" w:eastAsia="仿宋"/>
          <w:color w:val="auto"/>
          <w:kern w:val="0"/>
          <w:sz w:val="28"/>
          <w:szCs w:val="28"/>
        </w:rPr>
      </w:pPr>
      <w:r>
        <w:rPr>
          <w:rFonts w:ascii="仿宋" w:hAnsi="仿宋" w:eastAsia="仿宋"/>
          <w:color w:val="auto"/>
          <w:kern w:val="0"/>
          <w:sz w:val="28"/>
          <w:szCs w:val="28"/>
        </w:rPr>
        <w:t>房地产开发经营业：全部房地产开发经营业法人单位。</w:t>
      </w:r>
    </w:p>
    <w:p>
      <w:pPr>
        <w:snapToGrid w:val="0"/>
        <w:spacing w:before="0" w:after="0" w:line="600" w:lineRule="exact"/>
        <w:ind w:firstLine="555"/>
        <w:jc w:val="both"/>
        <w:rPr>
          <w:rFonts w:ascii="仿宋" w:hAnsi="仿宋" w:eastAsia="仿宋"/>
          <w:color w:val="auto"/>
          <w:kern w:val="0"/>
          <w:sz w:val="28"/>
          <w:szCs w:val="28"/>
        </w:rPr>
      </w:pPr>
      <w:r>
        <w:rPr>
          <w:rFonts w:ascii="仿宋" w:hAnsi="仿宋" w:eastAsia="仿宋"/>
          <w:color w:val="auto"/>
          <w:kern w:val="0"/>
          <w:sz w:val="28"/>
          <w:szCs w:val="28"/>
        </w:rPr>
        <w:t>规模以上服务业： 年营业收入2000万元以上的服务业法人单位。包括：交通运输、仓储和邮政业；信息传输、软件和信息技术服务；水利、环境和公共设施管理业；卫生行业。年营业收入1000万元以上的服务业法人单位。包括：租赁和商务服务业；科学研究和技术服务业；教育；物业管理；房地产中介服务；房地产租赁经营和其他房地产业等。年营业收入500万元以上的服务业法人单位。包括：居民服务、修理和其他服务业；文化、体育和娱乐业；社会工作等行业。</w:t>
      </w:r>
    </w:p>
    <w:p>
      <w:pPr>
        <w:snapToGrid w:val="0"/>
        <w:spacing w:before="0" w:after="0" w:line="600" w:lineRule="exact"/>
        <w:ind w:firstLine="555"/>
        <w:jc w:val="left"/>
        <w:rPr>
          <w:rFonts w:ascii="宋体" w:hAnsi="宋体" w:eastAsia="宋体"/>
          <w:color w:val="auto"/>
          <w:sz w:val="28"/>
          <w:szCs w:val="28"/>
        </w:rPr>
      </w:pPr>
    </w:p>
    <w:p>
      <w:pPr>
        <w:snapToGrid w:val="0"/>
        <w:spacing w:before="0" w:after="0" w:line="600" w:lineRule="exact"/>
        <w:jc w:val="left"/>
        <w:rPr>
          <w:rFonts w:ascii="仿宋" w:hAnsi="仿宋" w:eastAsia="仿宋"/>
          <w:b/>
          <w:bCs/>
          <w:color w:val="auto"/>
          <w:kern w:val="0"/>
          <w:sz w:val="28"/>
          <w:szCs w:val="28"/>
        </w:rPr>
      </w:pPr>
      <w:r>
        <w:rPr>
          <w:rFonts w:ascii="仿宋" w:hAnsi="仿宋" w:eastAsia="仿宋"/>
          <w:b/>
          <w:bCs/>
          <w:color w:val="auto"/>
          <w:kern w:val="0"/>
          <w:sz w:val="28"/>
          <w:szCs w:val="28"/>
        </w:rPr>
        <w:t>资料来源（以文中数据为序）：</w:t>
      </w:r>
    </w:p>
    <w:p>
      <w:pPr>
        <w:snapToGrid w:val="0"/>
        <w:spacing w:before="0" w:after="0" w:line="600" w:lineRule="exact"/>
        <w:ind w:firstLine="555"/>
        <w:jc w:val="left"/>
        <w:rPr>
          <w:rFonts w:ascii="等线" w:hAnsi="等线" w:eastAsia="等线"/>
          <w:color w:val="auto"/>
          <w:sz w:val="20"/>
          <w:szCs w:val="20"/>
        </w:rPr>
      </w:pPr>
      <w:r>
        <w:rPr>
          <w:rFonts w:ascii="仿宋" w:hAnsi="仿宋" w:eastAsia="仿宋"/>
          <w:color w:val="auto"/>
          <w:kern w:val="0"/>
          <w:sz w:val="28"/>
          <w:szCs w:val="28"/>
        </w:rPr>
        <w:t>本公报中货物进出口、对外经济数据、自贸区来自自贸办；财政数据来自财政局；金融数据来自现代服务业局；科技数据来自科技创新局。其他数据来自经济运行局。</w:t>
      </w:r>
    </w:p>
    <w:p>
      <w:pPr>
        <w:widowControl/>
        <w:spacing w:line="600" w:lineRule="exact"/>
        <w:ind w:firstLine="555"/>
        <w:jc w:val="left"/>
        <w:rPr>
          <w:color w:val="FF0000"/>
        </w:rPr>
      </w:pPr>
    </w:p>
    <w:sectPr>
      <w:footerReference r:id="rId3" w:type="default"/>
      <w:footerReference r:id="rId4" w:type="even"/>
      <w:pgSz w:w="11906" w:h="16838"/>
      <w:pgMar w:top="1984" w:right="1474" w:bottom="1814" w:left="147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eastAsia="宋体"/>
        <w:sz w:val="32"/>
        <w:szCs w:val="32"/>
      </w:rPr>
    </w:pPr>
    <w:r>
      <w:rPr>
        <w:rFonts w:hint="eastAsia" w:ascii="宋体" w:hAnsi="宋体" w:eastAsia="宋体"/>
        <w:sz w:val="32"/>
        <w:szCs w:val="32"/>
      </w:rPr>
      <w:t>—</w:t>
    </w:r>
    <w:sdt>
      <w:sdtPr>
        <w:rPr>
          <w:rFonts w:ascii="宋体" w:hAnsi="宋体" w:eastAsia="宋体"/>
          <w:sz w:val="32"/>
          <w:szCs w:val="32"/>
        </w:rPr>
        <w:id w:val="-539755507"/>
        <w:docPartObj>
          <w:docPartGallery w:val="autotext"/>
        </w:docPartObj>
      </w:sdtPr>
      <w:sdtEndPr>
        <w:rPr>
          <w:rFonts w:ascii="宋体" w:hAnsi="宋体" w:eastAsia="宋体"/>
          <w:sz w:val="32"/>
          <w:szCs w:val="32"/>
        </w:rPr>
      </w:sdtEndPr>
      <w:sdtContent>
        <w:r>
          <w:rPr>
            <w:rFonts w:ascii="宋体" w:hAnsi="宋体" w:eastAsia="宋体"/>
            <w:sz w:val="32"/>
            <w:szCs w:val="32"/>
          </w:rPr>
          <w:fldChar w:fldCharType="begin"/>
        </w:r>
        <w:r>
          <w:rPr>
            <w:rFonts w:ascii="宋体" w:hAnsi="宋体" w:eastAsia="宋体"/>
            <w:sz w:val="32"/>
            <w:szCs w:val="32"/>
          </w:rPr>
          <w:instrText xml:space="preserve">PAGE   \* MERGEFORMAT</w:instrText>
        </w:r>
        <w:r>
          <w:rPr>
            <w:rFonts w:ascii="宋体" w:hAnsi="宋体" w:eastAsia="宋体"/>
            <w:sz w:val="32"/>
            <w:szCs w:val="32"/>
          </w:rPr>
          <w:fldChar w:fldCharType="separate"/>
        </w:r>
        <w:r>
          <w:rPr>
            <w:rFonts w:ascii="宋体" w:hAnsi="宋体" w:eastAsia="宋体"/>
            <w:sz w:val="32"/>
            <w:szCs w:val="32"/>
            <w:lang w:val="zh-CN"/>
          </w:rPr>
          <w:t>2</w:t>
        </w:r>
        <w:r>
          <w:rPr>
            <w:rFonts w:ascii="宋体" w:hAnsi="宋体" w:eastAsia="宋体"/>
            <w:sz w:val="32"/>
            <w:szCs w:val="32"/>
          </w:rPr>
          <w:fldChar w:fldCharType="end"/>
        </w:r>
        <w:r>
          <w:rPr>
            <w:rFonts w:hint="eastAsia" w:ascii="宋体" w:hAnsi="宋体" w:eastAsia="宋体"/>
            <w:sz w:val="32"/>
            <w:szCs w:val="32"/>
          </w:rPr>
          <w:t>—</w:t>
        </w:r>
      </w:sdtContent>
    </w:sdt>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8"/>
        <w:szCs w:val="28"/>
      </w:rPr>
    </w:pPr>
    <w:r>
      <w:rPr>
        <w:rFonts w:hint="eastAsia" w:ascii="宋体" w:hAnsi="宋体" w:eastAsia="宋体"/>
        <w:sz w:val="28"/>
        <w:szCs w:val="28"/>
      </w:rPr>
      <w:t>—</w:t>
    </w:r>
    <w:sdt>
      <w:sdtPr>
        <w:rPr>
          <w:rFonts w:ascii="宋体" w:hAnsi="宋体" w:eastAsia="宋体"/>
          <w:sz w:val="28"/>
          <w:szCs w:val="28"/>
        </w:rPr>
        <w:id w:val="-1309008798"/>
        <w:docPartObj>
          <w:docPartGallery w:val="autotext"/>
        </w:docPartObj>
      </w:sdtPr>
      <w:sdtEndPr>
        <w:rPr>
          <w:rFonts w:ascii="宋体" w:hAnsi="宋体" w:eastAsia="宋体"/>
          <w:sz w:val="28"/>
          <w:szCs w:val="28"/>
        </w:rPr>
      </w:sdtEndPr>
      <w:sdtContent>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sdtContent>
    </w:sdt>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c5M2QwZmYwMjQ2OThlM2RhYjE2ODJkYWUxYTJkYmUifQ=="/>
  </w:docVars>
  <w:rsids>
    <w:rsidRoot w:val="00172A27"/>
    <w:rsid w:val="000F78E6"/>
    <w:rsid w:val="001722E4"/>
    <w:rsid w:val="001F2926"/>
    <w:rsid w:val="00275EF0"/>
    <w:rsid w:val="003A649D"/>
    <w:rsid w:val="0040553F"/>
    <w:rsid w:val="0042680D"/>
    <w:rsid w:val="00434612"/>
    <w:rsid w:val="0047703A"/>
    <w:rsid w:val="004C39B7"/>
    <w:rsid w:val="005050A3"/>
    <w:rsid w:val="005559D1"/>
    <w:rsid w:val="005E02B6"/>
    <w:rsid w:val="0065497A"/>
    <w:rsid w:val="00664922"/>
    <w:rsid w:val="006E5161"/>
    <w:rsid w:val="007A1420"/>
    <w:rsid w:val="007A4C4D"/>
    <w:rsid w:val="00865434"/>
    <w:rsid w:val="008774E2"/>
    <w:rsid w:val="008A2E22"/>
    <w:rsid w:val="008D5F83"/>
    <w:rsid w:val="009A38F5"/>
    <w:rsid w:val="00A61A4A"/>
    <w:rsid w:val="00A63CE9"/>
    <w:rsid w:val="00A742D6"/>
    <w:rsid w:val="00AB0DCE"/>
    <w:rsid w:val="00AC52E5"/>
    <w:rsid w:val="00AE457E"/>
    <w:rsid w:val="00B2674B"/>
    <w:rsid w:val="00B62A6A"/>
    <w:rsid w:val="00BE004D"/>
    <w:rsid w:val="00BF2612"/>
    <w:rsid w:val="00BF6491"/>
    <w:rsid w:val="00C6168F"/>
    <w:rsid w:val="00CB40E6"/>
    <w:rsid w:val="00D05688"/>
    <w:rsid w:val="00D154DC"/>
    <w:rsid w:val="00D6301A"/>
    <w:rsid w:val="00DF1000"/>
    <w:rsid w:val="00E1592A"/>
    <w:rsid w:val="00EA15D3"/>
    <w:rsid w:val="00EA779F"/>
    <w:rsid w:val="00EF34CB"/>
    <w:rsid w:val="00EF50D3"/>
    <w:rsid w:val="00F10CC4"/>
    <w:rsid w:val="00F97072"/>
    <w:rsid w:val="01F1534B"/>
    <w:rsid w:val="0233611A"/>
    <w:rsid w:val="02376EA3"/>
    <w:rsid w:val="09A43D99"/>
    <w:rsid w:val="0D607C16"/>
    <w:rsid w:val="12AA12B5"/>
    <w:rsid w:val="1F1F2448"/>
    <w:rsid w:val="22531B7C"/>
    <w:rsid w:val="232D40F4"/>
    <w:rsid w:val="23A84C45"/>
    <w:rsid w:val="253050F6"/>
    <w:rsid w:val="292A6196"/>
    <w:rsid w:val="29C57B6B"/>
    <w:rsid w:val="3485084C"/>
    <w:rsid w:val="37976208"/>
    <w:rsid w:val="38084D57"/>
    <w:rsid w:val="38E76635"/>
    <w:rsid w:val="3C573309"/>
    <w:rsid w:val="3D496274"/>
    <w:rsid w:val="3E3514A1"/>
    <w:rsid w:val="3EE5612D"/>
    <w:rsid w:val="42807ABE"/>
    <w:rsid w:val="42F239D8"/>
    <w:rsid w:val="48085DD6"/>
    <w:rsid w:val="4B1A272B"/>
    <w:rsid w:val="4D68398E"/>
    <w:rsid w:val="4FFF0FD7"/>
    <w:rsid w:val="513D0888"/>
    <w:rsid w:val="518014CC"/>
    <w:rsid w:val="5663134A"/>
    <w:rsid w:val="645C350C"/>
    <w:rsid w:val="6A2608FC"/>
    <w:rsid w:val="6BA61867"/>
    <w:rsid w:val="6C92192E"/>
    <w:rsid w:val="6E210653"/>
    <w:rsid w:val="6EA26DBF"/>
    <w:rsid w:val="73D86ADB"/>
    <w:rsid w:val="78774035"/>
    <w:rsid w:val="7D4E5902"/>
    <w:rsid w:val="7F0E7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paragraph" w:customStyle="1" w:styleId="9">
    <w:name w:val="ti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tit1"/>
    <w:basedOn w:val="7"/>
    <w:qFormat/>
    <w:uiPriority w:val="0"/>
  </w:style>
  <w:style w:type="character" w:customStyle="1" w:styleId="11">
    <w:name w:val="con"/>
    <w:basedOn w:val="7"/>
    <w:qFormat/>
    <w:uiPriority w:val="0"/>
  </w:style>
  <w:style w:type="character" w:customStyle="1" w:styleId="12">
    <w:name w:val="cur"/>
    <w:basedOn w:val="7"/>
    <w:qFormat/>
    <w:uiPriority w:val="0"/>
  </w:style>
  <w:style w:type="paragraph" w:styleId="1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4">
    <w:name w:val="页眉 字符"/>
    <w:basedOn w:val="7"/>
    <w:link w:val="3"/>
    <w:qFormat/>
    <w:uiPriority w:val="99"/>
    <w:rPr>
      <w:sz w:val="18"/>
      <w:szCs w:val="18"/>
    </w:rPr>
  </w:style>
  <w:style w:type="character" w:customStyle="1" w:styleId="15">
    <w:name w:val="页脚 字符"/>
    <w:basedOn w:val="7"/>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HP\Desktop\&#22320;&#21306;&#29983;&#20135;&#24635;&#2054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[地区生产总值.xlsx]Sheet1!$A$25</c:f>
              <c:strCache>
                <c:ptCount val="1"/>
                <c:pt idx="0">
                  <c:v>第一产业</c:v>
                </c:pt>
              </c:strCache>
            </c:strRef>
          </c:tx>
          <c:spPr>
            <a:solidFill>
              <a:schemeClr val="accent1"/>
            </a:solidFill>
            <a:ln>
              <a:noFill/>
            </a:ln>
            <a:effectLst/>
          </c:spPr>
          <c:invertIfNegative val="0"/>
          <c:dLbls>
            <c:delete val="1"/>
          </c:dLbls>
          <c:cat>
            <c:numRef>
              <c:f>[地区生产总值.xlsx]Sheet1!$B$24:$G$24</c:f>
              <c:numCache>
                <c:formatCode>General</c:formatCode>
                <c:ptCount val="6"/>
                <c:pt idx="0">
                  <c:v>2017</c:v>
                </c:pt>
                <c:pt idx="1">
                  <c:v>2018</c:v>
                </c:pt>
                <c:pt idx="2">
                  <c:v>2019</c:v>
                </c:pt>
                <c:pt idx="3">
                  <c:v>2020</c:v>
                </c:pt>
                <c:pt idx="4">
                  <c:v>2021</c:v>
                </c:pt>
                <c:pt idx="5">
                  <c:v>2022</c:v>
                </c:pt>
              </c:numCache>
            </c:numRef>
          </c:cat>
          <c:val>
            <c:numRef>
              <c:f>[地区生产总值.xlsx]Sheet1!$B$25:$G$25</c:f>
              <c:numCache>
                <c:formatCode>General</c:formatCode>
                <c:ptCount val="6"/>
                <c:pt idx="0">
                  <c:v>17.36</c:v>
                </c:pt>
                <c:pt idx="1">
                  <c:v>15.71</c:v>
                </c:pt>
                <c:pt idx="2">
                  <c:v>16.5</c:v>
                </c:pt>
                <c:pt idx="3">
                  <c:v>18.23</c:v>
                </c:pt>
                <c:pt idx="4">
                  <c:v>19.97</c:v>
                </c:pt>
                <c:pt idx="5">
                  <c:v>20.48</c:v>
                </c:pt>
              </c:numCache>
            </c:numRef>
          </c:val>
        </c:ser>
        <c:ser>
          <c:idx val="1"/>
          <c:order val="1"/>
          <c:tx>
            <c:strRef>
              <c:f>[地区生产总值.xlsx]Sheet1!$A$26</c:f>
              <c:strCache>
                <c:ptCount val="1"/>
                <c:pt idx="0">
                  <c:v>第二产业</c:v>
                </c:pt>
              </c:strCache>
            </c:strRef>
          </c:tx>
          <c:spPr>
            <a:solidFill>
              <a:schemeClr val="accent2"/>
            </a:solidFill>
            <a:ln>
              <a:noFill/>
            </a:ln>
            <a:effectLst/>
          </c:spPr>
          <c:invertIfNegative val="0"/>
          <c:dLbls>
            <c:delete val="1"/>
          </c:dLbls>
          <c:cat>
            <c:numRef>
              <c:f>[地区生产总值.xlsx]Sheet1!$B$24:$G$24</c:f>
              <c:numCache>
                <c:formatCode>General</c:formatCode>
                <c:ptCount val="6"/>
                <c:pt idx="0">
                  <c:v>2017</c:v>
                </c:pt>
                <c:pt idx="1">
                  <c:v>2018</c:v>
                </c:pt>
                <c:pt idx="2">
                  <c:v>2019</c:v>
                </c:pt>
                <c:pt idx="3">
                  <c:v>2020</c:v>
                </c:pt>
                <c:pt idx="4">
                  <c:v>2021</c:v>
                </c:pt>
                <c:pt idx="5">
                  <c:v>2022</c:v>
                </c:pt>
              </c:numCache>
            </c:numRef>
          </c:cat>
          <c:val>
            <c:numRef>
              <c:f>[地区生产总值.xlsx]Sheet1!$B$26:$G$26</c:f>
              <c:numCache>
                <c:formatCode>General</c:formatCode>
                <c:ptCount val="6"/>
                <c:pt idx="0">
                  <c:v>722.51</c:v>
                </c:pt>
                <c:pt idx="1">
                  <c:v>618.52</c:v>
                </c:pt>
                <c:pt idx="2">
                  <c:v>663.81</c:v>
                </c:pt>
                <c:pt idx="3">
                  <c:v>756.21</c:v>
                </c:pt>
                <c:pt idx="4">
                  <c:v>981.8</c:v>
                </c:pt>
                <c:pt idx="5">
                  <c:v>1124.08</c:v>
                </c:pt>
              </c:numCache>
            </c:numRef>
          </c:val>
        </c:ser>
        <c:ser>
          <c:idx val="2"/>
          <c:order val="2"/>
          <c:tx>
            <c:strRef>
              <c:f>[地区生产总值.xlsx]Sheet1!$A$27</c:f>
              <c:strCache>
                <c:ptCount val="1"/>
                <c:pt idx="0">
                  <c:v>第三产业</c:v>
                </c:pt>
              </c:strCache>
            </c:strRef>
          </c:tx>
          <c:spPr>
            <a:solidFill>
              <a:schemeClr val="accent3"/>
            </a:solidFill>
            <a:ln>
              <a:noFill/>
            </a:ln>
            <a:effectLst/>
          </c:spPr>
          <c:invertIfNegative val="0"/>
          <c:dLbls>
            <c:delete val="1"/>
          </c:dLbls>
          <c:cat>
            <c:numRef>
              <c:f>[地区生产总值.xlsx]Sheet1!$B$24:$G$24</c:f>
              <c:numCache>
                <c:formatCode>General</c:formatCode>
                <c:ptCount val="6"/>
                <c:pt idx="0">
                  <c:v>2017</c:v>
                </c:pt>
                <c:pt idx="1">
                  <c:v>2018</c:v>
                </c:pt>
                <c:pt idx="2">
                  <c:v>2019</c:v>
                </c:pt>
                <c:pt idx="3">
                  <c:v>2020</c:v>
                </c:pt>
                <c:pt idx="4">
                  <c:v>2021</c:v>
                </c:pt>
                <c:pt idx="5">
                  <c:v>2022</c:v>
                </c:pt>
              </c:numCache>
            </c:numRef>
          </c:cat>
          <c:val>
            <c:numRef>
              <c:f>[地区生产总值.xlsx]Sheet1!$B$27:$G$27</c:f>
              <c:numCache>
                <c:formatCode>General</c:formatCode>
                <c:ptCount val="6"/>
                <c:pt idx="0">
                  <c:v>673.7</c:v>
                </c:pt>
                <c:pt idx="1">
                  <c:v>928.43</c:v>
                </c:pt>
                <c:pt idx="2">
                  <c:v>1127.25</c:v>
                </c:pt>
                <c:pt idx="3">
                  <c:v>1196.02</c:v>
                </c:pt>
                <c:pt idx="4">
                  <c:v>1269.03</c:v>
                </c:pt>
                <c:pt idx="5">
                  <c:v>1282.07</c:v>
                </c:pt>
              </c:numCache>
            </c:numRef>
          </c:val>
        </c:ser>
        <c:dLbls>
          <c:showLegendKey val="0"/>
          <c:showVal val="0"/>
          <c:showCatName val="0"/>
          <c:showSerName val="0"/>
          <c:showPercent val="0"/>
          <c:showBubbleSize val="0"/>
        </c:dLbls>
        <c:gapWidth val="150"/>
        <c:overlap val="100"/>
        <c:axId val="457611798"/>
        <c:axId val="51659721"/>
      </c:barChart>
      <c:catAx>
        <c:axId val="45761179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659721"/>
        <c:crosses val="autoZero"/>
        <c:auto val="1"/>
        <c:lblAlgn val="ctr"/>
        <c:lblOffset val="100"/>
        <c:noMultiLvlLbl val="0"/>
      </c:catAx>
      <c:valAx>
        <c:axId val="5165972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761179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1000" b="0" i="0" u="none" strike="noStrike" kern="1200" baseline="0">
                <a:solidFill>
                  <a:sysClr val="windowText" lastClr="000000"/>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Table>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legendEntry>
      <c:legendEntry>
        <c:idx val="2"/>
        <c:txPr>
          <a:bodyPr rot="0" spcFirstLastPara="0" vertOverflow="ellipsis" vert="horz" wrap="square" anchor="ctr" anchorCtr="1"/>
          <a:lstStyle/>
          <a:p>
            <a:pPr>
              <a:defRPr lang="zh-CN" sz="900" b="0" i="0" u="none" strike="noStrike" kern="1200" baseline="0">
                <a:solidFill>
                  <a:sysClr val="windowText" lastClr="000000"/>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5350</Words>
  <Characters>6638</Characters>
  <Lines>50</Lines>
  <Paragraphs>14</Paragraphs>
  <TotalTime>1</TotalTime>
  <ScaleCrop>false</ScaleCrop>
  <LinksUpToDate>false</LinksUpToDate>
  <CharactersWithSpaces>6913</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2021-03-29T01:47:00Z</dcterms:created>
  <dc:creator>yb</dc:creator>
  <cp:lastModifiedBy>HP</cp:lastModifiedBy>
  <dcterms:modified xsi:type="dcterms:W3CDTF">2023-04-26T08:37:55Z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B0024FDA42094B4EA82F5A6040B66539</vt:lpwstr>
  </property>
  <property fmtid="{D5CDD505-2E9C-101B-9397-08002B2CF9AE}" pid="4" name="commondata">
    <vt:lpwstr>eyJoZGlkIjoiNDc5M2QwZmYwMjQ2OThlM2RhYjE2ODJkYWUxYTJkYmUifQ==</vt:lpwstr>
  </property>
</Properties>
</file>