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两江新区202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1-9月</w:t>
      </w:r>
      <w:r>
        <w:rPr>
          <w:rFonts w:hint="eastAsia" w:ascii="方正小标宋_GBK" w:eastAsia="方正小标宋_GBK"/>
          <w:sz w:val="44"/>
          <w:szCs w:val="44"/>
        </w:rPr>
        <w:t>主要经济情况简析</w:t>
      </w:r>
    </w:p>
    <w:p>
      <w:pPr>
        <w:jc w:val="both"/>
      </w:pPr>
    </w:p>
    <w:p>
      <w:pPr>
        <w:jc w:val="both"/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jc w:val="both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一、202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1-9月</w:t>
      </w:r>
      <w:r>
        <w:rPr>
          <w:rFonts w:hint="eastAsia" w:ascii="方正仿宋_GBK" w:eastAsia="方正仿宋_GBK"/>
          <w:color w:val="auto"/>
          <w:sz w:val="32"/>
          <w:szCs w:val="32"/>
        </w:rPr>
        <w:t>，两江新区地区生产总值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3607.60</w:t>
      </w:r>
      <w:r>
        <w:rPr>
          <w:rFonts w:hint="eastAsia" w:ascii="方正仿宋_GBK" w:eastAsia="方正仿宋_GBK"/>
          <w:color w:val="auto"/>
          <w:sz w:val="32"/>
          <w:szCs w:val="32"/>
        </w:rPr>
        <w:t>亿元，按可比价计算增长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5.1</w:t>
      </w:r>
      <w:r>
        <w:rPr>
          <w:rFonts w:hint="eastAsia" w:ascii="方正仿宋_GBK" w:eastAsia="方正仿宋_GBK"/>
          <w:color w:val="auto"/>
          <w:sz w:val="32"/>
          <w:szCs w:val="32"/>
        </w:rPr>
        <w:t>%，其中一、二、三次产业实现增加值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15.88</w:t>
      </w:r>
      <w:r>
        <w:rPr>
          <w:rFonts w:hint="eastAsia" w:ascii="方正仿宋_GBK" w:eastAsia="方正仿宋_GBK"/>
          <w:color w:val="auto"/>
          <w:sz w:val="32"/>
          <w:szCs w:val="32"/>
        </w:rPr>
        <w:t>亿元、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1238.25</w:t>
      </w:r>
      <w:r>
        <w:rPr>
          <w:rFonts w:hint="eastAsia" w:ascii="方正仿宋_GBK" w:eastAsia="方正仿宋_GBK"/>
          <w:color w:val="auto"/>
          <w:sz w:val="32"/>
          <w:szCs w:val="32"/>
        </w:rPr>
        <w:t>亿元、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2353.48</w:t>
      </w:r>
      <w:r>
        <w:rPr>
          <w:rFonts w:hint="eastAsia" w:ascii="方正仿宋_GBK" w:eastAsia="方正仿宋_GBK"/>
          <w:color w:val="auto"/>
          <w:sz w:val="32"/>
          <w:szCs w:val="32"/>
        </w:rPr>
        <w:t>亿元，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增速分别为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3.0</w:t>
      </w:r>
      <w:r>
        <w:rPr>
          <w:rFonts w:hint="eastAsia" w:ascii="方正仿宋_GBK" w:eastAsia="方正仿宋_GBK"/>
          <w:color w:val="auto"/>
          <w:sz w:val="32"/>
          <w:szCs w:val="32"/>
        </w:rPr>
        <w:t>%、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7.0</w:t>
      </w:r>
      <w:r>
        <w:rPr>
          <w:rFonts w:hint="eastAsia" w:ascii="方正仿宋_GBK" w:eastAsia="方正仿宋_GBK"/>
          <w:color w:val="auto"/>
          <w:sz w:val="32"/>
          <w:szCs w:val="32"/>
        </w:rPr>
        <w:t>%、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4.1</w:t>
      </w:r>
      <w:r>
        <w:rPr>
          <w:rFonts w:hint="eastAsia" w:ascii="方正仿宋_GBK" w:eastAsia="方正仿宋_GBK"/>
          <w:color w:val="auto"/>
          <w:sz w:val="32"/>
          <w:szCs w:val="32"/>
        </w:rPr>
        <w:t>%。三次产业结构比为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0.4</w:t>
      </w:r>
      <w:r>
        <w:rPr>
          <w:rFonts w:hint="eastAsia" w:ascii="方正仿宋_GBK" w:eastAsia="方正仿宋_GBK"/>
          <w:color w:val="auto"/>
          <w:sz w:val="32"/>
          <w:szCs w:val="32"/>
        </w:rPr>
        <w:t>: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34.3</w:t>
      </w:r>
      <w:r>
        <w:rPr>
          <w:rFonts w:hint="eastAsia" w:ascii="方正仿宋_GBK" w:eastAsia="方正仿宋_GBK"/>
          <w:color w:val="auto"/>
          <w:sz w:val="32"/>
          <w:szCs w:val="32"/>
        </w:rPr>
        <w:t>:6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5.3</w:t>
      </w:r>
      <w:r>
        <w:rPr>
          <w:rFonts w:hint="eastAsia" w:ascii="方正仿宋_GBK" w:eastAsia="方正仿宋_GBK"/>
          <w:color w:val="auto"/>
          <w:sz w:val="32"/>
          <w:szCs w:val="32"/>
        </w:rPr>
        <w:t>。其中：直管区地区生产总值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1934.04</w:t>
      </w:r>
      <w:r>
        <w:rPr>
          <w:rFonts w:hint="eastAsia" w:ascii="方正仿宋_GBK" w:eastAsia="方正仿宋_GBK"/>
          <w:color w:val="auto"/>
          <w:sz w:val="32"/>
          <w:szCs w:val="32"/>
        </w:rPr>
        <w:t>亿元，按可比价计算增长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7.2</w:t>
      </w:r>
      <w:r>
        <w:rPr>
          <w:rFonts w:hint="eastAsia" w:ascii="方正仿宋_GBK" w:eastAsia="方正仿宋_GBK"/>
          <w:color w:val="auto"/>
          <w:sz w:val="32"/>
          <w:szCs w:val="32"/>
        </w:rPr>
        <w:t>%，其中一、二、三次产业实现增加值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14.29</w:t>
      </w:r>
      <w:r>
        <w:rPr>
          <w:rFonts w:hint="eastAsia" w:ascii="方正仿宋_GBK" w:eastAsia="方正仿宋_GBK"/>
          <w:color w:val="auto"/>
          <w:sz w:val="32"/>
          <w:szCs w:val="32"/>
        </w:rPr>
        <w:t>亿元、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862.84</w:t>
      </w:r>
      <w:r>
        <w:rPr>
          <w:rFonts w:hint="eastAsia" w:ascii="方正仿宋_GBK" w:eastAsia="方正仿宋_GBK"/>
          <w:color w:val="auto"/>
          <w:sz w:val="32"/>
          <w:szCs w:val="32"/>
        </w:rPr>
        <w:t>亿元、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1056.91</w:t>
      </w:r>
      <w:r>
        <w:rPr>
          <w:rFonts w:hint="eastAsia" w:ascii="方正仿宋_GBK" w:eastAsia="方正仿宋_GBK"/>
          <w:color w:val="auto"/>
          <w:sz w:val="32"/>
          <w:szCs w:val="32"/>
        </w:rPr>
        <w:t>亿元，分别增长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3.0</w:t>
      </w:r>
      <w:r>
        <w:rPr>
          <w:rFonts w:hint="eastAsia" w:ascii="方正仿宋_GBK" w:eastAsia="方正仿宋_GBK"/>
          <w:color w:val="auto"/>
          <w:sz w:val="32"/>
          <w:szCs w:val="32"/>
        </w:rPr>
        <w:t>%、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12.0</w:t>
      </w:r>
      <w:r>
        <w:rPr>
          <w:rFonts w:hint="eastAsia" w:ascii="方正仿宋_GBK" w:eastAsia="方正仿宋_GBK"/>
          <w:color w:val="auto"/>
          <w:sz w:val="32"/>
          <w:szCs w:val="32"/>
        </w:rPr>
        <w:t>%、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3.5</w:t>
      </w:r>
      <w:r>
        <w:rPr>
          <w:rFonts w:hint="eastAsia" w:ascii="方正仿宋_GBK" w:eastAsia="方正仿宋_GBK"/>
          <w:color w:val="auto"/>
          <w:sz w:val="32"/>
          <w:szCs w:val="32"/>
        </w:rPr>
        <w:t>%。三次产业结构比为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0.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color w:val="auto"/>
          <w:sz w:val="32"/>
          <w:szCs w:val="32"/>
        </w:rPr>
        <w:t>: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4.6</w:t>
      </w:r>
      <w:r>
        <w:rPr>
          <w:rFonts w:hint="eastAsia" w:ascii="方正仿宋_GBK" w:eastAsia="方正仿宋_GBK"/>
          <w:color w:val="auto"/>
          <w:sz w:val="32"/>
          <w:szCs w:val="32"/>
        </w:rPr>
        <w:t>: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4.7</w:t>
      </w:r>
      <w:r>
        <w:rPr>
          <w:rFonts w:hint="eastAsia" w:ascii="方正仿宋_GBK" w:eastAsia="方正仿宋_GBK"/>
          <w:color w:val="auto"/>
          <w:sz w:val="32"/>
          <w:szCs w:val="32"/>
        </w:rPr>
        <w:t>。</w:t>
      </w:r>
    </w:p>
    <w:p>
      <w:pPr>
        <w:jc w:val="center"/>
        <w:rPr>
          <w:rFonts w:ascii="方正仿宋_GBK" w:eastAsia="方正仿宋_GBK"/>
          <w:color w:val="FF0000"/>
          <w:sz w:val="32"/>
          <w:szCs w:val="32"/>
        </w:rPr>
      </w:pPr>
      <w:r>
        <w:drawing>
          <wp:inline distT="0" distB="0" distL="114300" distR="114300">
            <wp:extent cx="5120005" cy="3142615"/>
            <wp:effectExtent l="5080" t="4445" r="18415" b="1524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方正仿宋_GBK" w:eastAsia="方正仿宋_GBK"/>
          <w:color w:val="FF0000"/>
          <w:sz w:val="32"/>
          <w:szCs w:val="32"/>
        </w:rPr>
      </w:pPr>
    </w:p>
    <w:p>
      <w:pPr>
        <w:ind w:firstLine="640" w:firstLineChars="200"/>
        <w:jc w:val="both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二、202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1-9月</w:t>
      </w:r>
      <w:r>
        <w:rPr>
          <w:rFonts w:hint="eastAsia" w:ascii="方正仿宋_GBK" w:eastAsia="方正仿宋_GBK"/>
          <w:color w:val="auto"/>
          <w:sz w:val="32"/>
          <w:szCs w:val="32"/>
        </w:rPr>
        <w:t>，两江新区实现规上工业总产值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4701.13 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11.1</w:t>
      </w:r>
      <w:r>
        <w:rPr>
          <w:rFonts w:hint="eastAsia" w:ascii="方正仿宋_GBK" w:eastAsia="方正仿宋_GBK"/>
          <w:color w:val="auto"/>
          <w:sz w:val="32"/>
          <w:szCs w:val="32"/>
        </w:rPr>
        <w:t>%。其中：直管区实现规上工业总产值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3410.46 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16.1</w:t>
      </w:r>
      <w:r>
        <w:rPr>
          <w:rFonts w:hint="eastAsia" w:ascii="方正仿宋_GBK" w:eastAsia="方正仿宋_GBK"/>
          <w:color w:val="auto"/>
          <w:sz w:val="32"/>
          <w:szCs w:val="32"/>
        </w:rPr>
        <w:t>%。</w:t>
      </w:r>
    </w:p>
    <w:p>
      <w:pPr>
        <w:jc w:val="center"/>
        <w:rPr>
          <w:rFonts w:ascii="方正仿宋_GBK" w:eastAsia="方正仿宋_GBK"/>
          <w:color w:val="FF0000"/>
          <w:sz w:val="32"/>
          <w:szCs w:val="32"/>
        </w:rPr>
      </w:pPr>
      <w:r>
        <w:drawing>
          <wp:inline distT="0" distB="0" distL="114300" distR="114300">
            <wp:extent cx="5051425" cy="3142615"/>
            <wp:effectExtent l="5080" t="4445" r="10795" b="1524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ind w:firstLine="640" w:firstLineChars="200"/>
        <w:jc w:val="both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三、202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1-9月</w:t>
      </w:r>
      <w:r>
        <w:rPr>
          <w:rFonts w:hint="eastAsia" w:ascii="方正仿宋_GBK" w:eastAsia="方正仿宋_GBK"/>
          <w:color w:val="auto"/>
          <w:sz w:val="32"/>
          <w:szCs w:val="32"/>
        </w:rPr>
        <w:t>，两江新区社会消费品零售总额完成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1445.81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2.2</w:t>
      </w:r>
      <w:r>
        <w:rPr>
          <w:rFonts w:hint="eastAsia" w:ascii="方正仿宋_GBK" w:eastAsia="方正仿宋_GBK"/>
          <w:color w:val="auto"/>
          <w:sz w:val="32"/>
          <w:szCs w:val="32"/>
        </w:rPr>
        <w:t>%；批发业销售额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7401.70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22.6</w:t>
      </w:r>
      <w:r>
        <w:rPr>
          <w:rFonts w:hint="eastAsia" w:ascii="方正仿宋_GBK" w:eastAsia="方正仿宋_GBK"/>
          <w:color w:val="auto"/>
          <w:sz w:val="32"/>
          <w:szCs w:val="32"/>
        </w:rPr>
        <w:t>%；零售业销售额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1982.79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15.0</w:t>
      </w:r>
      <w:r>
        <w:rPr>
          <w:rFonts w:hint="eastAsia" w:ascii="方正仿宋_GBK" w:eastAsia="方正仿宋_GBK"/>
          <w:color w:val="auto"/>
          <w:sz w:val="32"/>
          <w:szCs w:val="32"/>
        </w:rPr>
        <w:t>%。其中：直管区社会消费品零售总额完成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663.12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7.2</w:t>
      </w:r>
      <w:r>
        <w:rPr>
          <w:rFonts w:hint="eastAsia" w:ascii="方正仿宋_GBK" w:eastAsia="方正仿宋_GBK"/>
          <w:color w:val="auto"/>
          <w:sz w:val="32"/>
          <w:szCs w:val="32"/>
        </w:rPr>
        <w:t>%。</w:t>
      </w:r>
      <w:bookmarkStart w:id="0" w:name="_GoBack"/>
      <w:bookmarkEnd w:id="0"/>
    </w:p>
    <w:p>
      <w:pPr>
        <w:tabs>
          <w:tab w:val="left" w:pos="6090"/>
        </w:tabs>
        <w:ind w:firstLine="640" w:firstLineChars="200"/>
        <w:jc w:val="both"/>
        <w:rPr>
          <w:rFonts w:ascii="方正仿宋_GBK" w:eastAsia="方正仿宋_GBK"/>
          <w:color w:val="FF0000"/>
          <w:sz w:val="32"/>
          <w:szCs w:val="32"/>
        </w:rPr>
      </w:pPr>
    </w:p>
    <w:p>
      <w:pPr>
        <w:ind w:firstLine="640" w:firstLineChars="200"/>
        <w:jc w:val="both"/>
        <w:rPr>
          <w:rFonts w:ascii="方正仿宋_GBK" w:eastAsia="方正仿宋_GBK"/>
          <w:color w:val="FF0000"/>
          <w:sz w:val="32"/>
          <w:szCs w:val="32"/>
        </w:rPr>
      </w:pPr>
    </w:p>
    <w:p>
      <w:pPr>
        <w:jc w:val="center"/>
        <w:rPr>
          <w:rFonts w:ascii="方正仿宋_GBK" w:eastAsia="方正仿宋_GBK"/>
          <w:color w:val="FF0000"/>
          <w:sz w:val="32"/>
          <w:szCs w:val="32"/>
        </w:rPr>
      </w:pPr>
      <w:r>
        <w:drawing>
          <wp:inline distT="0" distB="0" distL="114300" distR="114300">
            <wp:extent cx="5194300" cy="3142615"/>
            <wp:effectExtent l="5080" t="4445" r="20320" b="1524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ind w:firstLine="640" w:firstLineChars="200"/>
        <w:jc w:val="both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四、202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1-9月</w:t>
      </w:r>
      <w:r>
        <w:rPr>
          <w:rFonts w:hint="eastAsia" w:ascii="方正仿宋_GBK" w:eastAsia="方正仿宋_GBK"/>
          <w:color w:val="auto"/>
          <w:sz w:val="32"/>
          <w:szCs w:val="32"/>
        </w:rPr>
        <w:t>，两江新区固定资产投资同比下降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16.8</w:t>
      </w:r>
      <w:r>
        <w:rPr>
          <w:rFonts w:hint="eastAsia" w:ascii="方正仿宋_GBK" w:eastAsia="方正仿宋_GBK"/>
          <w:color w:val="auto"/>
          <w:sz w:val="32"/>
          <w:szCs w:val="32"/>
        </w:rPr>
        <w:t>%，工业投资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下降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15.3</w:t>
      </w:r>
      <w:r>
        <w:rPr>
          <w:rFonts w:hint="eastAsia" w:ascii="方正仿宋_GBK" w:eastAsia="方正仿宋_GBK"/>
          <w:color w:val="auto"/>
          <w:sz w:val="32"/>
          <w:szCs w:val="32"/>
        </w:rPr>
        <w:t>%。其中：直管区固定资产投资同比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下降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13.2</w:t>
      </w:r>
      <w:r>
        <w:rPr>
          <w:rFonts w:hint="eastAsia" w:ascii="方正仿宋_GBK" w:eastAsia="方正仿宋_GBK"/>
          <w:color w:val="auto"/>
          <w:sz w:val="32"/>
          <w:szCs w:val="32"/>
        </w:rPr>
        <w:t>%，工业投资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下降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17.0</w:t>
      </w:r>
      <w:r>
        <w:rPr>
          <w:rFonts w:hint="eastAsia" w:ascii="方正仿宋_GBK" w:eastAsia="方正仿宋_GBK"/>
          <w:color w:val="auto"/>
          <w:sz w:val="32"/>
          <w:szCs w:val="32"/>
        </w:rPr>
        <w:t>%。</w:t>
      </w:r>
    </w:p>
    <w:p>
      <w:pPr>
        <w:jc w:val="center"/>
        <w:rPr>
          <w:rFonts w:ascii="方正仿宋_GBK" w:eastAsia="方正仿宋_GBK"/>
          <w:color w:val="FF0000"/>
          <w:sz w:val="32"/>
          <w:szCs w:val="32"/>
        </w:rPr>
      </w:pPr>
      <w:r>
        <w:drawing>
          <wp:inline distT="0" distB="0" distL="114300" distR="114300">
            <wp:extent cx="5222875" cy="3142615"/>
            <wp:effectExtent l="5080" t="4445" r="10795" b="15240"/>
            <wp:docPr id="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ind w:firstLine="640" w:firstLineChars="200"/>
        <w:jc w:val="both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五、202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1-9月</w:t>
      </w:r>
      <w:r>
        <w:rPr>
          <w:rFonts w:hint="eastAsia" w:ascii="方正仿宋_GBK" w:eastAsia="方正仿宋_GBK"/>
          <w:color w:val="auto"/>
          <w:sz w:val="32"/>
          <w:szCs w:val="32"/>
        </w:rPr>
        <w:t>，两江新区一般公共预算收入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207.12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下降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3.4</w:t>
      </w:r>
      <w:r>
        <w:rPr>
          <w:rFonts w:hint="eastAsia" w:ascii="方正仿宋_GBK" w:eastAsia="方正仿宋_GBK"/>
          <w:color w:val="auto"/>
          <w:sz w:val="32"/>
          <w:szCs w:val="32"/>
        </w:rPr>
        <w:t>%；一般公共预算支出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307.82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9.7</w:t>
      </w:r>
      <w:r>
        <w:rPr>
          <w:rFonts w:hint="eastAsia" w:ascii="方正仿宋_GBK" w:eastAsia="方正仿宋_GBK"/>
          <w:color w:val="auto"/>
          <w:sz w:val="32"/>
          <w:szCs w:val="32"/>
        </w:rPr>
        <w:t>%。其中：直管区一般公共预算收入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84.97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下降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7.3</w:t>
      </w:r>
      <w:r>
        <w:rPr>
          <w:rFonts w:hint="eastAsia" w:ascii="方正仿宋_GBK" w:eastAsia="方正仿宋_GBK"/>
          <w:color w:val="auto"/>
          <w:sz w:val="32"/>
          <w:szCs w:val="32"/>
        </w:rPr>
        <w:t>%；一般公共预算支出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101.80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13.2</w:t>
      </w:r>
      <w:r>
        <w:rPr>
          <w:rFonts w:hint="eastAsia" w:ascii="方正仿宋_GBK" w:eastAsia="方正仿宋_GBK"/>
          <w:color w:val="auto"/>
          <w:sz w:val="32"/>
          <w:szCs w:val="32"/>
        </w:rPr>
        <w:t>%。</w:t>
      </w:r>
    </w:p>
    <w:p>
      <w:pPr>
        <w:jc w:val="center"/>
        <w:rPr>
          <w:rFonts w:ascii="方正仿宋_GBK" w:eastAsia="方正仿宋_GBK"/>
          <w:color w:val="FF0000"/>
          <w:sz w:val="32"/>
          <w:szCs w:val="32"/>
        </w:rPr>
      </w:pPr>
      <w:r>
        <w:drawing>
          <wp:inline distT="0" distB="0" distL="114300" distR="114300">
            <wp:extent cx="5051425" cy="3142615"/>
            <wp:effectExtent l="5080" t="4445" r="10795" b="1524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EB"/>
    <w:rsid w:val="000112EB"/>
    <w:rsid w:val="000579E6"/>
    <w:rsid w:val="000B4652"/>
    <w:rsid w:val="0014683C"/>
    <w:rsid w:val="004F31EB"/>
    <w:rsid w:val="0054322A"/>
    <w:rsid w:val="00692018"/>
    <w:rsid w:val="007C0A75"/>
    <w:rsid w:val="00990631"/>
    <w:rsid w:val="00AD3B92"/>
    <w:rsid w:val="00B531E7"/>
    <w:rsid w:val="00C92F59"/>
    <w:rsid w:val="00CC68B1"/>
    <w:rsid w:val="00D336AA"/>
    <w:rsid w:val="00DB0C5F"/>
    <w:rsid w:val="00E0598E"/>
    <w:rsid w:val="00E24102"/>
    <w:rsid w:val="00E519B8"/>
    <w:rsid w:val="00E60DE4"/>
    <w:rsid w:val="00F41632"/>
    <w:rsid w:val="01D673F1"/>
    <w:rsid w:val="049C3890"/>
    <w:rsid w:val="053C1747"/>
    <w:rsid w:val="0C855295"/>
    <w:rsid w:val="0DC82229"/>
    <w:rsid w:val="16F23481"/>
    <w:rsid w:val="19E03427"/>
    <w:rsid w:val="1B5B7A58"/>
    <w:rsid w:val="1D88413D"/>
    <w:rsid w:val="1F4E2022"/>
    <w:rsid w:val="228F4685"/>
    <w:rsid w:val="22925172"/>
    <w:rsid w:val="29404687"/>
    <w:rsid w:val="307E4B9D"/>
    <w:rsid w:val="32E34FF0"/>
    <w:rsid w:val="366F3C3D"/>
    <w:rsid w:val="38263009"/>
    <w:rsid w:val="388C5CDE"/>
    <w:rsid w:val="3F45396A"/>
    <w:rsid w:val="4A5F4F8D"/>
    <w:rsid w:val="50943165"/>
    <w:rsid w:val="52B26899"/>
    <w:rsid w:val="54917E2E"/>
    <w:rsid w:val="584B787D"/>
    <w:rsid w:val="5F1B5210"/>
    <w:rsid w:val="61984D27"/>
    <w:rsid w:val="62D4712C"/>
    <w:rsid w:val="689D48A7"/>
    <w:rsid w:val="69B87CFB"/>
    <w:rsid w:val="6B3B52B5"/>
    <w:rsid w:val="7364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HP\Desktop\&#26376;&#25253;\&#23395;&#24230;&#25968;&#25454;&#20844;&#24320;\&#23395;&#24230;&#25968;&#25454;&#20844;&#24320;&#22686;&#36895;&#36208;&#21183;&#22270;&#65288;&#27169;&#26495;&#65289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themeOverride" Target="../theme/themeOverride2.xml"/><Relationship Id="rId1" Type="http://schemas.openxmlformats.org/officeDocument/2006/relationships/oleObject" Target="file:///C:\Users\HP\Desktop\&#26376;&#25253;\&#23395;&#24230;&#25968;&#25454;&#20844;&#24320;\&#23395;&#24230;&#25968;&#25454;&#20844;&#24320;&#22686;&#36895;&#36208;&#21183;&#22270;&#65288;&#27169;&#26495;&#65289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HP\Desktop\&#26376;&#25253;\&#23395;&#24230;&#25968;&#25454;&#20844;&#24320;\&#23395;&#24230;&#25968;&#25454;&#20844;&#24320;&#22686;&#36895;&#36208;&#21183;&#22270;&#65288;&#27169;&#26495;&#65289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HP\Desktop\&#26376;&#25253;\&#23395;&#24230;&#25968;&#25454;&#20844;&#24320;\&#23395;&#24230;&#25968;&#25454;&#20844;&#24320;&#22686;&#36895;&#36208;&#21183;&#22270;&#65288;&#27169;&#26495;&#65289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themeOverride" Target="../theme/themeOverride3.xml"/><Relationship Id="rId1" Type="http://schemas.openxmlformats.org/officeDocument/2006/relationships/oleObject" Target="file:///C:\Users\HP\Desktop\&#26376;&#25253;\&#23395;&#24230;&#25968;&#25454;&#20844;&#24320;\&#23395;&#24230;&#25968;&#25454;&#20844;&#24320;&#22686;&#36895;&#36208;&#21183;&#22270;&#65288;&#27169;&#26495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40" b="0" i="0" u="none" strike="noStrike" kern="1200" cap="all" spc="0" baseline="0">
                <a:gradFill>
                  <a:gsLst>
                    <a:gs pos="0">
                      <a:schemeClr val="dk1">
                        <a:lumMod val="50000"/>
                        <a:lumOff val="50000"/>
                      </a:schemeClr>
                    </a:gs>
                    <a:gs pos="100000">
                      <a:schemeClr val="dk1">
                        <a:lumMod val="85000"/>
                        <a:lumOff val="15000"/>
                      </a:schemeClr>
                    </a:gs>
                  </a:gsLst>
                  <a:lin ang="5400000" scaled="0"/>
                </a:gradFill>
                <a:latin typeface="+mn-lt"/>
                <a:ea typeface="+mn-ea"/>
                <a:cs typeface="+mn-cs"/>
              </a:defRPr>
            </a:pPr>
            <a:r>
              <a:rPr lang="zh-CN" altLang="en-US"/>
              <a:t>图1：地区生产总值增速走势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202769535113748"/>
          <c:y val="0.176228343922827"/>
          <c:w val="0.956478733926805"/>
          <c:h val="0.64052420530767"/>
        </c:manualLayout>
      </c:layout>
      <c:lineChart>
        <c:grouping val="standard"/>
        <c:varyColors val="0"/>
        <c:ser>
          <c:idx val="2"/>
          <c:order val="0"/>
          <c:tx>
            <c:strRef>
              <c:f>'[季度数据公开增速走势图（模板）.xlsx]GDP'!$A$2</c:f>
              <c:strCache>
                <c:ptCount val="1"/>
                <c:pt idx="0">
                  <c:v>两江新区</c:v>
                </c:pt>
              </c:strCache>
            </c:strRef>
          </c:tx>
          <c:spPr>
            <a:ln w="19050" cap="rnd" cmpd="sng" algn="ctr">
              <a:solidFill>
                <a:srgbClr val="ED7D31"/>
              </a:solidFill>
              <a:prstDash val="solid"/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 w="6350" cap="flat" cmpd="sng" algn="ctr">
                <a:noFill/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0.0505292179723825"/>
                  <c:y val="0.002304871858972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13847675568744"/>
                  <c:y val="0.01388779527559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93611806071132"/>
                  <c:y val="-0.001935562070559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45944998714923"/>
                  <c:y val="0.0681319742733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528268665902143"/>
                  <c:y val="0.0007585054885116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79709027469489"/>
                  <c:y val="0.0277777777777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65727392384557"/>
                  <c:y val="0.018518518518518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416617210682492"/>
                  <c:y val="0.007545531524204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'[季度数据公开增速走势图（模板）.xlsx]GDP'!$B$1:$I$1</c:f>
              <c:strCache>
                <c:ptCount val="8"/>
                <c:pt idx="0">
                  <c:v>2022</c:v>
                </c:pt>
                <c:pt idx="1">
                  <c:v>2023Q1</c:v>
                </c:pt>
                <c:pt idx="2">
                  <c:v>2023Q2</c:v>
                </c:pt>
                <c:pt idx="3">
                  <c:v>2023Q3</c:v>
                </c:pt>
                <c:pt idx="4">
                  <c:v>2023</c:v>
                </c:pt>
                <c:pt idx="5">
                  <c:v>2024Q1</c:v>
                </c:pt>
                <c:pt idx="6">
                  <c:v>2024Q2</c:v>
                </c:pt>
                <c:pt idx="7">
                  <c:v>2024Q3</c:v>
                </c:pt>
              </c:strCache>
            </c:strRef>
          </c:cat>
          <c:val>
            <c:numRef>
              <c:f>'[季度数据公开增速走势图（模板）.xlsx]GDP'!$B$2:$I$2</c:f>
              <c:numCache>
                <c:formatCode>0.0_ </c:formatCode>
                <c:ptCount val="8"/>
                <c:pt idx="0">
                  <c:v>3</c:v>
                </c:pt>
                <c:pt idx="1">
                  <c:v>3.6</c:v>
                </c:pt>
                <c:pt idx="2">
                  <c:v>4.5</c:v>
                </c:pt>
                <c:pt idx="3">
                  <c:v>5</c:v>
                </c:pt>
                <c:pt idx="4">
                  <c:v>5.5</c:v>
                </c:pt>
                <c:pt idx="5">
                  <c:v>6.1</c:v>
                </c:pt>
                <c:pt idx="6">
                  <c:v>6.2</c:v>
                </c:pt>
                <c:pt idx="7">
                  <c:v>5.1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'[季度数据公开增速走势图（模板）.xlsx]GDP'!$A$3</c:f>
              <c:strCache>
                <c:ptCount val="1"/>
                <c:pt idx="0">
                  <c:v>两江新区直管区</c:v>
                </c:pt>
              </c:strCache>
            </c:strRef>
          </c:tx>
          <c:spPr>
            <a:ln w="19050" cap="rnd" cmpd="sng" algn="ctr">
              <a:solidFill>
                <a:srgbClr val="00B050"/>
              </a:solidFill>
              <a:prstDash val="solid"/>
              <a:round/>
            </a:ln>
          </c:spPr>
          <c:marker>
            <c:symbol val="circle"/>
            <c:size val="17"/>
            <c:spPr>
              <a:solidFill>
                <a:sysClr val="window" lastClr="FFFFFF"/>
              </a:solidFill>
              <a:ln w="6350" cap="flat" cmpd="sng" algn="ctr">
                <a:noFill/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462266252326768"/>
                  <c:y val="-0.0277777777777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78635793671192"/>
                  <c:y val="-0.01388888888888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576687242660166"/>
                  <c:y val="-0.028171708218752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40432221561751"/>
                  <c:y val="-0.03512609561903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71859934422144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39064586055992"/>
                  <c:y val="-0.01700518718907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380317297133111"/>
                  <c:y val="-0.030092592592592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gradFill>
                      <a:gsLst>
                        <a:gs pos="0">
                          <a:srgbClr val="14CD68"/>
                        </a:gs>
                        <a:gs pos="100000">
                          <a:srgbClr val="035C7D"/>
                        </a:gs>
                      </a:gsLst>
                      <a:lin ang="5400000" scaled="0"/>
                    </a:gra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'[季度数据公开增速走势图（模板）.xlsx]GDP'!$B$1:$I$1</c:f>
              <c:strCache>
                <c:ptCount val="8"/>
                <c:pt idx="0">
                  <c:v>2022</c:v>
                </c:pt>
                <c:pt idx="1">
                  <c:v>2023Q1</c:v>
                </c:pt>
                <c:pt idx="2">
                  <c:v>2023Q2</c:v>
                </c:pt>
                <c:pt idx="3">
                  <c:v>2023Q3</c:v>
                </c:pt>
                <c:pt idx="4">
                  <c:v>2023</c:v>
                </c:pt>
                <c:pt idx="5">
                  <c:v>2024Q1</c:v>
                </c:pt>
                <c:pt idx="6">
                  <c:v>2024Q2</c:v>
                </c:pt>
                <c:pt idx="7">
                  <c:v>2024Q3</c:v>
                </c:pt>
              </c:strCache>
            </c:strRef>
          </c:cat>
          <c:val>
            <c:numRef>
              <c:f>'[季度数据公开增速走势图（模板）.xlsx]GDP'!$B$3:$I$3</c:f>
              <c:numCache>
                <c:formatCode>0.0_ </c:formatCode>
                <c:ptCount val="8"/>
                <c:pt idx="0">
                  <c:v>3.6</c:v>
                </c:pt>
                <c:pt idx="1">
                  <c:v>4.8</c:v>
                </c:pt>
                <c:pt idx="2">
                  <c:v>5</c:v>
                </c:pt>
                <c:pt idx="3">
                  <c:v>5.7</c:v>
                </c:pt>
                <c:pt idx="4">
                  <c:v>6.5</c:v>
                </c:pt>
                <c:pt idx="5">
                  <c:v>7.2</c:v>
                </c:pt>
                <c:pt idx="6">
                  <c:v>7.6</c:v>
                </c:pt>
                <c:pt idx="7">
                  <c:v>7.2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090496"/>
        <c:axId val="46108672"/>
      </c:lineChart>
      <c:catAx>
        <c:axId val="4609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108672"/>
        <c:crosses val="autoZero"/>
        <c:auto val="1"/>
        <c:lblAlgn val="ctr"/>
        <c:lblOffset val="100"/>
        <c:noMultiLvlLbl val="0"/>
      </c:catAx>
      <c:valAx>
        <c:axId val="46108672"/>
        <c:scaling>
          <c:orientation val="minMax"/>
        </c:scaling>
        <c:delete val="1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609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rgbClr val="5B9BD5"/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40" b="0" i="0" u="none" strike="noStrike" kern="1200" cap="all" spc="0" baseline="0">
                <a:gradFill>
                  <a:gsLst>
                    <a:gs pos="0">
                      <a:schemeClr val="dk1">
                        <a:lumMod val="50000"/>
                        <a:lumOff val="50000"/>
                      </a:schemeClr>
                    </a:gs>
                    <a:gs pos="100000">
                      <a:schemeClr val="dk1">
                        <a:lumMod val="85000"/>
                        <a:lumOff val="15000"/>
                      </a:schemeClr>
                    </a:gs>
                  </a:gsLst>
                  <a:lin ang="5400000" scaled="0"/>
                </a:gradFill>
                <a:latin typeface="+mn-lt"/>
                <a:ea typeface="+mn-ea"/>
                <a:cs typeface="+mn-cs"/>
              </a:defRPr>
            </a:pPr>
            <a:r>
              <a:rPr lang="zh-CN" altLang="en-US"/>
              <a:t>图</a:t>
            </a:r>
            <a:r>
              <a:rPr lang="en-US" altLang="zh-CN"/>
              <a:t>2</a:t>
            </a:r>
            <a:r>
              <a:rPr lang="zh-CN" altLang="en-US"/>
              <a:t>：规上工业总产值增速走势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202769535113748"/>
          <c:y val="0.176228343922827"/>
          <c:w val="0.956478733926805"/>
          <c:h val="0.64052420530767"/>
        </c:manualLayout>
      </c:layout>
      <c:lineChart>
        <c:grouping val="standard"/>
        <c:varyColors val="0"/>
        <c:ser>
          <c:idx val="2"/>
          <c:order val="0"/>
          <c:tx>
            <c:strRef>
              <c:f>'[季度数据公开增速走势图（模板）.xlsx]工业'!$A$2</c:f>
              <c:strCache>
                <c:ptCount val="1"/>
                <c:pt idx="0">
                  <c:v>两江新区</c:v>
                </c:pt>
              </c:strCache>
            </c:strRef>
          </c:tx>
          <c:spPr>
            <a:ln w="19050" cap="rnd" cmpd="sng" algn="ctr">
              <a:solidFill>
                <a:srgbClr val="92D050"/>
              </a:solidFill>
              <a:prstDash val="solid"/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 w="6350" cap="flat" cmpd="sng" algn="ctr">
                <a:noFill/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0.0505292179723825"/>
                  <c:y val="0.002304871858972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13847675568744"/>
                  <c:y val="0.01388779527559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93611806071132"/>
                  <c:y val="-0.001935562070559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45944998714923"/>
                  <c:y val="0.0681319742733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528268665902143"/>
                  <c:y val="0.0007585054885116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79709027469489"/>
                  <c:y val="0.0277777777777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65727392384557"/>
                  <c:y val="0.018518518518518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416617210682492"/>
                  <c:y val="0.007545531524204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gradFill>
                      <a:gsLst>
                        <a:gs pos="0">
                          <a:srgbClr val="9EE256"/>
                        </a:gs>
                        <a:gs pos="100000">
                          <a:srgbClr val="52762D"/>
                        </a:gs>
                      </a:gsLst>
                      <a:lin ang="5400000" scaled="0"/>
                    </a:gra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'[季度数据公开增速走势图（模板）.xlsx]工业'!$B$1:$I$1</c:f>
              <c:strCache>
                <c:ptCount val="8"/>
                <c:pt idx="0">
                  <c:v>2022</c:v>
                </c:pt>
                <c:pt idx="1">
                  <c:v>2023Q1</c:v>
                </c:pt>
                <c:pt idx="2">
                  <c:v>2023Q2</c:v>
                </c:pt>
                <c:pt idx="3">
                  <c:v>2023Q3</c:v>
                </c:pt>
                <c:pt idx="4">
                  <c:v>2023</c:v>
                </c:pt>
                <c:pt idx="5">
                  <c:v>2024Q1</c:v>
                </c:pt>
                <c:pt idx="6">
                  <c:v>2024Q2</c:v>
                </c:pt>
                <c:pt idx="7">
                  <c:v>2024Q3</c:v>
                </c:pt>
              </c:strCache>
            </c:strRef>
          </c:cat>
          <c:val>
            <c:numRef>
              <c:f>'[季度数据公开增速走势图（模板）.xlsx]工业'!$B$2:$I$2</c:f>
              <c:numCache>
                <c:formatCode>0.0_ </c:formatCode>
                <c:ptCount val="8"/>
                <c:pt idx="0">
                  <c:v>5.1</c:v>
                </c:pt>
                <c:pt idx="1">
                  <c:v>-0.5</c:v>
                </c:pt>
                <c:pt idx="2">
                  <c:v>0.3</c:v>
                </c:pt>
                <c:pt idx="3">
                  <c:v>1.2</c:v>
                </c:pt>
                <c:pt idx="4">
                  <c:v>3.7</c:v>
                </c:pt>
                <c:pt idx="5">
                  <c:v>10.1</c:v>
                </c:pt>
                <c:pt idx="6">
                  <c:v>12.7</c:v>
                </c:pt>
                <c:pt idx="7">
                  <c:v>11.1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'[季度数据公开增速走势图（模板）.xlsx]工业'!$A$3</c:f>
              <c:strCache>
                <c:ptCount val="1"/>
                <c:pt idx="0">
                  <c:v>两江新区直管区</c:v>
                </c:pt>
              </c:strCache>
            </c:strRef>
          </c:tx>
          <c:spPr>
            <a:ln w="19050" cap="rnd" cmpd="sng" algn="ctr">
              <a:solidFill>
                <a:srgbClr val="00B0F0"/>
              </a:solidFill>
              <a:prstDash val="solid"/>
              <a:round/>
            </a:ln>
          </c:spPr>
          <c:marker>
            <c:symbol val="circle"/>
            <c:size val="17"/>
            <c:spPr>
              <a:solidFill>
                <a:sysClr val="window" lastClr="FFFFFF"/>
              </a:solidFill>
              <a:ln w="6350" cap="flat" cmpd="sng" algn="ctr">
                <a:noFill/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462266252326768"/>
                  <c:y val="-0.0277777777777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78635793671192"/>
                  <c:y val="-0.01388888888888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576687242660166"/>
                  <c:y val="-0.028171708218752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40432221561751"/>
                  <c:y val="-0.03512609561903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71859934422144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39064586055992"/>
                  <c:y val="-0.01700518718907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380317297133111"/>
                  <c:y val="-0.030092592592592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gradFill>
                      <a:gsLst>
                        <a:gs pos="0">
                          <a:srgbClr val="007BD3"/>
                        </a:gs>
                        <a:gs pos="100000">
                          <a:srgbClr val="034373"/>
                        </a:gs>
                      </a:gsLst>
                      <a:lin ang="5400000" scaled="0"/>
                    </a:gra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'[季度数据公开增速走势图（模板）.xlsx]工业'!$B$1:$I$1</c:f>
              <c:strCache>
                <c:ptCount val="8"/>
                <c:pt idx="0">
                  <c:v>2022</c:v>
                </c:pt>
                <c:pt idx="1">
                  <c:v>2023Q1</c:v>
                </c:pt>
                <c:pt idx="2">
                  <c:v>2023Q2</c:v>
                </c:pt>
                <c:pt idx="3">
                  <c:v>2023Q3</c:v>
                </c:pt>
                <c:pt idx="4">
                  <c:v>2023</c:v>
                </c:pt>
                <c:pt idx="5">
                  <c:v>2024Q1</c:v>
                </c:pt>
                <c:pt idx="6">
                  <c:v>2024Q2</c:v>
                </c:pt>
                <c:pt idx="7">
                  <c:v>2024Q3</c:v>
                </c:pt>
              </c:strCache>
            </c:strRef>
          </c:cat>
          <c:val>
            <c:numRef>
              <c:f>'[季度数据公开增速走势图（模板）.xlsx]工业'!$B$3:$I$3</c:f>
              <c:numCache>
                <c:formatCode>0.0_ </c:formatCode>
                <c:ptCount val="8"/>
                <c:pt idx="0">
                  <c:v>5.8</c:v>
                </c:pt>
                <c:pt idx="1">
                  <c:v>0.9</c:v>
                </c:pt>
                <c:pt idx="2">
                  <c:v>-1.4</c:v>
                </c:pt>
                <c:pt idx="3">
                  <c:v>-1.1</c:v>
                </c:pt>
                <c:pt idx="4">
                  <c:v>2.1</c:v>
                </c:pt>
                <c:pt idx="5">
                  <c:v>10.6</c:v>
                </c:pt>
                <c:pt idx="6">
                  <c:v>17.3</c:v>
                </c:pt>
                <c:pt idx="7">
                  <c:v>16.1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090496"/>
        <c:axId val="46108672"/>
      </c:lineChart>
      <c:catAx>
        <c:axId val="4609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108672"/>
        <c:crosses val="autoZero"/>
        <c:auto val="1"/>
        <c:lblAlgn val="ctr"/>
        <c:lblOffset val="100"/>
        <c:noMultiLvlLbl val="0"/>
      </c:catAx>
      <c:valAx>
        <c:axId val="46108672"/>
        <c:scaling>
          <c:orientation val="minMax"/>
        </c:scaling>
        <c:delete val="1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609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rgbClr val="5B9BD5"/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图</a:t>
            </a:r>
            <a:r>
              <a:rPr lang="en-US" altLang="zh-CN"/>
              <a:t>3</a:t>
            </a:r>
            <a:r>
              <a:rPr lang="zh-CN" altLang="en-US"/>
              <a:t>：两江新区商贸相关指标增速走势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202769535113748"/>
          <c:y val="0.176228343922827"/>
          <c:w val="0.956478733926805"/>
          <c:h val="0.64052420530767"/>
        </c:manualLayout>
      </c:layout>
      <c:lineChart>
        <c:grouping val="standard"/>
        <c:varyColors val="0"/>
        <c:ser>
          <c:idx val="2"/>
          <c:order val="0"/>
          <c:tx>
            <c:strRef>
              <c:f>'[季度数据公开增速走势图（模板）.xlsx]社零'!$A$2</c:f>
              <c:strCache>
                <c:ptCount val="1"/>
                <c:pt idx="0">
                  <c:v>社会消费品零售总额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elete val="1"/>
          </c:dLbls>
          <c:cat>
            <c:strRef>
              <c:f>'[季度数据公开增速走势图（模板）.xlsx]社零'!$B$1:$I$1</c:f>
              <c:strCache>
                <c:ptCount val="8"/>
                <c:pt idx="0">
                  <c:v>2020</c:v>
                </c:pt>
                <c:pt idx="1">
                  <c:v>2023Q1</c:v>
                </c:pt>
                <c:pt idx="2">
                  <c:v>2023Q2</c:v>
                </c:pt>
                <c:pt idx="3">
                  <c:v>2023Q3</c:v>
                </c:pt>
                <c:pt idx="4">
                  <c:v>2023</c:v>
                </c:pt>
                <c:pt idx="5">
                  <c:v>2024Q1</c:v>
                </c:pt>
                <c:pt idx="6">
                  <c:v>2024Q2</c:v>
                </c:pt>
                <c:pt idx="7">
                  <c:v>2024Q3</c:v>
                </c:pt>
              </c:strCache>
            </c:strRef>
          </c:cat>
          <c:val>
            <c:numRef>
              <c:f>'[季度数据公开增速走势图（模板）.xlsx]社零'!$B$2:$I$2</c:f>
              <c:numCache>
                <c:formatCode>0.000_ </c:formatCode>
                <c:ptCount val="8"/>
                <c:pt idx="0">
                  <c:v>0.007</c:v>
                </c:pt>
                <c:pt idx="1">
                  <c:v>0.029</c:v>
                </c:pt>
                <c:pt idx="2">
                  <c:v>0.126</c:v>
                </c:pt>
                <c:pt idx="3">
                  <c:v>0.09</c:v>
                </c:pt>
                <c:pt idx="4">
                  <c:v>0.107</c:v>
                </c:pt>
                <c:pt idx="5">
                  <c:v>0.045</c:v>
                </c:pt>
                <c:pt idx="6">
                  <c:v>0.001</c:v>
                </c:pt>
                <c:pt idx="7">
                  <c:v>0.022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'[季度数据公开增速走势图（模板）.xlsx]社零'!$A$3</c:f>
              <c:strCache>
                <c:ptCount val="1"/>
                <c:pt idx="0">
                  <c:v>批发业销售额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delete val="1"/>
          </c:dLbls>
          <c:cat>
            <c:strRef>
              <c:f>'[季度数据公开增速走势图（模板）.xlsx]社零'!$B$1:$I$1</c:f>
              <c:strCache>
                <c:ptCount val="8"/>
                <c:pt idx="0">
                  <c:v>2020</c:v>
                </c:pt>
                <c:pt idx="1">
                  <c:v>2023Q1</c:v>
                </c:pt>
                <c:pt idx="2">
                  <c:v>2023Q2</c:v>
                </c:pt>
                <c:pt idx="3">
                  <c:v>2023Q3</c:v>
                </c:pt>
                <c:pt idx="4">
                  <c:v>2023</c:v>
                </c:pt>
                <c:pt idx="5">
                  <c:v>2024Q1</c:v>
                </c:pt>
                <c:pt idx="6">
                  <c:v>2024Q2</c:v>
                </c:pt>
                <c:pt idx="7">
                  <c:v>2024Q3</c:v>
                </c:pt>
              </c:strCache>
            </c:strRef>
          </c:cat>
          <c:val>
            <c:numRef>
              <c:f>'[季度数据公开增速走势图（模板）.xlsx]社零'!$B$3:$I$3</c:f>
              <c:numCache>
                <c:formatCode>0.000_ </c:formatCode>
                <c:ptCount val="8"/>
                <c:pt idx="0">
                  <c:v>0.103</c:v>
                </c:pt>
                <c:pt idx="1">
                  <c:v>0.128</c:v>
                </c:pt>
                <c:pt idx="2">
                  <c:v>0.135</c:v>
                </c:pt>
                <c:pt idx="3">
                  <c:v>0.147</c:v>
                </c:pt>
                <c:pt idx="4">
                  <c:v>0.167</c:v>
                </c:pt>
                <c:pt idx="5">
                  <c:v>0.182</c:v>
                </c:pt>
                <c:pt idx="6">
                  <c:v>0.223</c:v>
                </c:pt>
                <c:pt idx="7">
                  <c:v>0.226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'[季度数据公开增速走势图（模板）.xlsx]社零'!$A$4</c:f>
              <c:strCache>
                <c:ptCount val="1"/>
                <c:pt idx="0">
                  <c:v>零售业销售额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1"/>
          </c:dLbls>
          <c:cat>
            <c:strRef>
              <c:f>'[季度数据公开增速走势图（模板）.xlsx]社零'!$B$1:$I$1</c:f>
              <c:strCache>
                <c:ptCount val="8"/>
                <c:pt idx="0">
                  <c:v>2020</c:v>
                </c:pt>
                <c:pt idx="1">
                  <c:v>2023Q1</c:v>
                </c:pt>
                <c:pt idx="2">
                  <c:v>2023Q2</c:v>
                </c:pt>
                <c:pt idx="3">
                  <c:v>2023Q3</c:v>
                </c:pt>
                <c:pt idx="4">
                  <c:v>2023</c:v>
                </c:pt>
                <c:pt idx="5">
                  <c:v>2024Q1</c:v>
                </c:pt>
                <c:pt idx="6">
                  <c:v>2024Q2</c:v>
                </c:pt>
                <c:pt idx="7">
                  <c:v>2024Q3</c:v>
                </c:pt>
              </c:strCache>
            </c:strRef>
          </c:cat>
          <c:val>
            <c:numRef>
              <c:f>'[季度数据公开增速走势图（模板）.xlsx]社零'!$B$4:$I$4</c:f>
              <c:numCache>
                <c:formatCode>0.000_ </c:formatCode>
                <c:ptCount val="8"/>
                <c:pt idx="0">
                  <c:v>0.079</c:v>
                </c:pt>
                <c:pt idx="1">
                  <c:v>0.052</c:v>
                </c:pt>
                <c:pt idx="2">
                  <c:v>0.143</c:v>
                </c:pt>
                <c:pt idx="3">
                  <c:v>0.127</c:v>
                </c:pt>
                <c:pt idx="4">
                  <c:v>0.162</c:v>
                </c:pt>
                <c:pt idx="5">
                  <c:v>0.127</c:v>
                </c:pt>
                <c:pt idx="6">
                  <c:v>0.107</c:v>
                </c:pt>
                <c:pt idx="7">
                  <c:v>0.15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090496"/>
        <c:axId val="46108672"/>
      </c:lineChart>
      <c:dateAx>
        <c:axId val="4609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0" spcFirstLastPara="0" vertOverflow="ellipsis" vert="horz" wrap="square" anchor="b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108672"/>
        <c:crosses val="autoZero"/>
        <c:auto val="0"/>
        <c:lblAlgn val="ctr"/>
        <c:lblOffset val="1000"/>
        <c:baseTimeUnit val="days"/>
      </c:dateAx>
      <c:valAx>
        <c:axId val="46108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0" vertOverflow="ellipsis" vert="horz" wrap="square" anchor="t" anchorCtr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09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6483180428135"/>
          <c:y val="0.84784805011113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图</a:t>
            </a:r>
            <a:r>
              <a:rPr lang="en-US" altLang="zh-CN"/>
              <a:t>4</a:t>
            </a:r>
            <a:r>
              <a:rPr lang="zh-CN" altLang="en-US"/>
              <a:t>：两江新区投资相关指标增速走势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63038219641993"/>
          <c:y val="0.179259259259259"/>
          <c:w val="0.956478733926805"/>
          <c:h val="0.64052420530767"/>
        </c:manualLayout>
      </c:layout>
      <c:lineChart>
        <c:grouping val="standard"/>
        <c:varyColors val="0"/>
        <c:ser>
          <c:idx val="2"/>
          <c:order val="0"/>
          <c:tx>
            <c:strRef>
              <c:f>'[季度数据公开增速走势图（模板）.xlsx]固投'!$A$2</c:f>
              <c:strCache>
                <c:ptCount val="1"/>
                <c:pt idx="0">
                  <c:v>固定资产投资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gradFill>
                <a:gsLst>
                  <a:gs pos="0">
                    <a:srgbClr val="14CD68"/>
                  </a:gs>
                  <a:gs pos="100000">
                    <a:srgbClr val="0B6E38"/>
                  </a:gs>
                </a:gsLst>
                <a:path path="circle"/>
              </a:gradFill>
              <a:ln w="9525">
                <a:solidFill>
                  <a:schemeClr val="accent3"/>
                </a:solidFill>
              </a:ln>
              <a:effectLst/>
            </c:spPr>
          </c:marker>
          <c:dLbls>
            <c:delete val="1"/>
          </c:dLbls>
          <c:cat>
            <c:strRef>
              <c:f>'[季度数据公开增速走势图（模板）.xlsx]固投'!$B$1:$I$1</c:f>
              <c:strCache>
                <c:ptCount val="8"/>
                <c:pt idx="0">
                  <c:v>2022</c:v>
                </c:pt>
                <c:pt idx="1">
                  <c:v>2023Q1</c:v>
                </c:pt>
                <c:pt idx="2">
                  <c:v>2023Q2</c:v>
                </c:pt>
                <c:pt idx="3">
                  <c:v>2023Q3</c:v>
                </c:pt>
                <c:pt idx="4">
                  <c:v>2023</c:v>
                </c:pt>
                <c:pt idx="5">
                  <c:v>2024Q1</c:v>
                </c:pt>
                <c:pt idx="6">
                  <c:v>2024Q2</c:v>
                </c:pt>
                <c:pt idx="7">
                  <c:v>2024Q3</c:v>
                </c:pt>
              </c:strCache>
            </c:strRef>
          </c:cat>
          <c:val>
            <c:numRef>
              <c:f>'[季度数据公开增速走势图（模板）.xlsx]固投'!$B$2:$I$2</c:f>
              <c:numCache>
                <c:formatCode>0.000_ </c:formatCode>
                <c:ptCount val="8"/>
                <c:pt idx="0">
                  <c:v>-0.188</c:v>
                </c:pt>
                <c:pt idx="1">
                  <c:v>-0.088</c:v>
                </c:pt>
                <c:pt idx="2">
                  <c:v>-0.141</c:v>
                </c:pt>
                <c:pt idx="3">
                  <c:v>-0.104</c:v>
                </c:pt>
                <c:pt idx="4">
                  <c:v>-0.058</c:v>
                </c:pt>
                <c:pt idx="5">
                  <c:v>-0.056</c:v>
                </c:pt>
                <c:pt idx="6">
                  <c:v>-0.11</c:v>
                </c:pt>
                <c:pt idx="7">
                  <c:v>-0.168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'[季度数据公开增速走势图（模板）.xlsx]固投'!$A$3</c:f>
              <c:strCache>
                <c:ptCount val="1"/>
                <c:pt idx="0">
                  <c:v>工业投资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delete val="1"/>
          </c:dLbls>
          <c:cat>
            <c:strRef>
              <c:f>'[季度数据公开增速走势图（模板）.xlsx]固投'!$B$1:$I$1</c:f>
              <c:strCache>
                <c:ptCount val="8"/>
                <c:pt idx="0">
                  <c:v>2022</c:v>
                </c:pt>
                <c:pt idx="1">
                  <c:v>2023Q1</c:v>
                </c:pt>
                <c:pt idx="2">
                  <c:v>2023Q2</c:v>
                </c:pt>
                <c:pt idx="3">
                  <c:v>2023Q3</c:v>
                </c:pt>
                <c:pt idx="4">
                  <c:v>2023</c:v>
                </c:pt>
                <c:pt idx="5">
                  <c:v>2024Q1</c:v>
                </c:pt>
                <c:pt idx="6">
                  <c:v>2024Q2</c:v>
                </c:pt>
                <c:pt idx="7">
                  <c:v>2024Q3</c:v>
                </c:pt>
              </c:strCache>
            </c:strRef>
          </c:cat>
          <c:val>
            <c:numRef>
              <c:f>'[季度数据公开增速走势图（模板）.xlsx]固投'!$B$3:$I$3</c:f>
              <c:numCache>
                <c:formatCode>0.000_ </c:formatCode>
                <c:ptCount val="8"/>
                <c:pt idx="0">
                  <c:v>-0.067</c:v>
                </c:pt>
                <c:pt idx="1">
                  <c:v>-0.051</c:v>
                </c:pt>
                <c:pt idx="2">
                  <c:v>0.022</c:v>
                </c:pt>
                <c:pt idx="3">
                  <c:v>0.054</c:v>
                </c:pt>
                <c:pt idx="4">
                  <c:v>0.054</c:v>
                </c:pt>
                <c:pt idx="5">
                  <c:v>-0.052</c:v>
                </c:pt>
                <c:pt idx="6">
                  <c:v>-0.195</c:v>
                </c:pt>
                <c:pt idx="7">
                  <c:v>-0.153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090496"/>
        <c:axId val="46108672"/>
      </c:lineChart>
      <c:dateAx>
        <c:axId val="4609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0" spcFirstLastPara="0" vertOverflow="ellipsis" vert="horz" wrap="square" anchor="b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108672"/>
        <c:crosses val="autoZero"/>
        <c:auto val="0"/>
        <c:lblAlgn val="ctr"/>
        <c:lblOffset val="250"/>
        <c:baseTimeUnit val="days"/>
      </c:dateAx>
      <c:valAx>
        <c:axId val="46108672"/>
        <c:scaling>
          <c:orientation val="minMax"/>
          <c:max val="0.2"/>
          <c:min val="-0.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0" vertOverflow="ellipsis" vert="horz" wrap="square" anchor="t" anchorCtr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09049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40" b="0" i="0" u="none" strike="noStrike" kern="1200" cap="all" spc="0" baseline="0">
                <a:gradFill>
                  <a:gsLst>
                    <a:gs pos="0">
                      <a:schemeClr val="dk1">
                        <a:lumMod val="50000"/>
                        <a:lumOff val="50000"/>
                      </a:schemeClr>
                    </a:gs>
                    <a:gs pos="100000">
                      <a:schemeClr val="dk1">
                        <a:lumMod val="85000"/>
                        <a:lumOff val="15000"/>
                      </a:schemeClr>
                    </a:gs>
                  </a:gsLst>
                  <a:lin ang="5400000" scaled="0"/>
                </a:gradFill>
                <a:latin typeface="+mn-lt"/>
                <a:ea typeface="+mn-ea"/>
                <a:cs typeface="+mn-cs"/>
              </a:defRPr>
            </a:pPr>
            <a:r>
              <a:rPr lang="zh-CN" altLang="en-US"/>
              <a:t>图</a:t>
            </a:r>
            <a:r>
              <a:rPr lang="en-US" altLang="zh-CN"/>
              <a:t>5</a:t>
            </a:r>
            <a:r>
              <a:rPr lang="zh-CN" altLang="en-US"/>
              <a:t>：一般公共预算收入增速走势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232443125618199"/>
          <c:y val="0.161073767240669"/>
          <c:w val="0.956478733926805"/>
          <c:h val="0.64052420530767"/>
        </c:manualLayout>
      </c:layout>
      <c:lineChart>
        <c:grouping val="standard"/>
        <c:varyColors val="0"/>
        <c:ser>
          <c:idx val="2"/>
          <c:order val="0"/>
          <c:tx>
            <c:strRef>
              <c:f>'[季度数据公开增速走势图（模板）.xlsx]收入'!$A$2</c:f>
              <c:strCache>
                <c:ptCount val="1"/>
                <c:pt idx="0">
                  <c:v>两江新区</c:v>
                </c:pt>
              </c:strCache>
            </c:strRef>
          </c:tx>
          <c:spPr>
            <a:ln w="19050" cap="rnd" cmpd="sng" algn="ctr">
              <a:solidFill>
                <a:srgbClr val="92D050"/>
              </a:solidFill>
              <a:prstDash val="solid"/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 w="6350" cap="flat" cmpd="sng" algn="ctr">
                <a:noFill/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0.0490455384471599"/>
                  <c:y val="-0.0098187894867534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13847675568744"/>
                  <c:y val="0.01388779527559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23285396575583"/>
                  <c:y val="0.01928084528446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520128974976051"/>
                  <c:y val="0.016606413553974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439247894388789"/>
                  <c:y val="-0.011365155857214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79709027469489"/>
                  <c:y val="0.0277777777777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65727392384557"/>
                  <c:y val="-0.017852465518660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416617210682491"/>
                  <c:y val="-0.022763621840111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gradFill>
                      <a:gsLst>
                        <a:gs pos="0">
                          <a:srgbClr val="9EE256"/>
                        </a:gs>
                        <a:gs pos="100000">
                          <a:srgbClr val="52762D"/>
                        </a:gs>
                      </a:gsLst>
                      <a:lin ang="5400000" scaled="0"/>
                    </a:gra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'[季度数据公开增速走势图（模板）.xlsx]收入'!$B$1:$I$1</c:f>
              <c:strCache>
                <c:ptCount val="8"/>
                <c:pt idx="0">
                  <c:v>2022</c:v>
                </c:pt>
                <c:pt idx="1">
                  <c:v>2023Q1</c:v>
                </c:pt>
                <c:pt idx="2">
                  <c:v>2023Q2</c:v>
                </c:pt>
                <c:pt idx="3">
                  <c:v>2023Q3</c:v>
                </c:pt>
                <c:pt idx="4">
                  <c:v>2023</c:v>
                </c:pt>
                <c:pt idx="5">
                  <c:v>2024Q1</c:v>
                </c:pt>
                <c:pt idx="6">
                  <c:v>2024Q2</c:v>
                </c:pt>
                <c:pt idx="7">
                  <c:v>2024Q3</c:v>
                </c:pt>
              </c:strCache>
            </c:strRef>
          </c:cat>
          <c:val>
            <c:numRef>
              <c:f>'[季度数据公开增速走势图（模板）.xlsx]收入'!$B$2:$I$2</c:f>
              <c:numCache>
                <c:formatCode>0.0_ </c:formatCode>
                <c:ptCount val="8"/>
                <c:pt idx="0">
                  <c:v>-12.9</c:v>
                </c:pt>
                <c:pt idx="1">
                  <c:v>-10</c:v>
                </c:pt>
                <c:pt idx="2">
                  <c:v>0.7</c:v>
                </c:pt>
                <c:pt idx="3">
                  <c:v>5.3</c:v>
                </c:pt>
                <c:pt idx="4">
                  <c:v>11.9</c:v>
                </c:pt>
                <c:pt idx="5">
                  <c:v>5.6</c:v>
                </c:pt>
                <c:pt idx="6">
                  <c:v>0.5</c:v>
                </c:pt>
                <c:pt idx="7">
                  <c:v>-3.4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'[季度数据公开增速走势图（模板）.xlsx]收入'!$A$3</c:f>
              <c:strCache>
                <c:ptCount val="1"/>
                <c:pt idx="0">
                  <c:v>两江新区直管区</c:v>
                </c:pt>
              </c:strCache>
            </c:strRef>
          </c:tx>
          <c:spPr>
            <a:ln w="19050" cap="rnd" cmpd="sng" algn="ctr">
              <a:solidFill>
                <a:srgbClr val="00B0F0"/>
              </a:solidFill>
              <a:prstDash val="solid"/>
              <a:round/>
            </a:ln>
          </c:spPr>
          <c:marker>
            <c:symbol val="circle"/>
            <c:size val="17"/>
            <c:spPr>
              <a:solidFill>
                <a:sysClr val="window" lastClr="FFFFFF"/>
              </a:solidFill>
              <a:ln w="6350" cap="flat" cmpd="sng" algn="ctr">
                <a:noFill/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462266252326768"/>
                  <c:y val="-0.0277777777777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78635793671192"/>
                  <c:y val="-0.01388888888888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665708014173519"/>
                  <c:y val="-0.034233538891615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593471810089021"/>
                  <c:y val="0.05758739139220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84942607318427"/>
                  <c:y val="-0.01087877292758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71859934422144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53901381308218"/>
                  <c:y val="0.016334881511675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380317297133111"/>
                  <c:y val="-0.002814354564708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gradFill>
                      <a:gsLst>
                        <a:gs pos="0">
                          <a:srgbClr val="007BD3"/>
                        </a:gs>
                        <a:gs pos="100000">
                          <a:srgbClr val="034373"/>
                        </a:gs>
                      </a:gsLst>
                      <a:lin ang="5400000" scaled="0"/>
                    </a:gra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'[季度数据公开增速走势图（模板）.xlsx]收入'!$B$1:$I$1</c:f>
              <c:strCache>
                <c:ptCount val="8"/>
                <c:pt idx="0">
                  <c:v>2022</c:v>
                </c:pt>
                <c:pt idx="1">
                  <c:v>2023Q1</c:v>
                </c:pt>
                <c:pt idx="2">
                  <c:v>2023Q2</c:v>
                </c:pt>
                <c:pt idx="3">
                  <c:v>2023Q3</c:v>
                </c:pt>
                <c:pt idx="4">
                  <c:v>2023</c:v>
                </c:pt>
                <c:pt idx="5">
                  <c:v>2024Q1</c:v>
                </c:pt>
                <c:pt idx="6">
                  <c:v>2024Q2</c:v>
                </c:pt>
                <c:pt idx="7">
                  <c:v>2024Q3</c:v>
                </c:pt>
              </c:strCache>
            </c:strRef>
          </c:cat>
          <c:val>
            <c:numRef>
              <c:f>'[季度数据公开增速走势图（模板）.xlsx]收入'!$B$3:$I$3</c:f>
              <c:numCache>
                <c:formatCode>0.0_ </c:formatCode>
                <c:ptCount val="8"/>
                <c:pt idx="0">
                  <c:v>-13.7</c:v>
                </c:pt>
                <c:pt idx="1">
                  <c:v>-11</c:v>
                </c:pt>
                <c:pt idx="2">
                  <c:v>0.9</c:v>
                </c:pt>
                <c:pt idx="3">
                  <c:v>8.7</c:v>
                </c:pt>
                <c:pt idx="4">
                  <c:v>9.3</c:v>
                </c:pt>
                <c:pt idx="5">
                  <c:v>0.5</c:v>
                </c:pt>
                <c:pt idx="6">
                  <c:v>-5.8</c:v>
                </c:pt>
                <c:pt idx="7">
                  <c:v>-7.3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090496"/>
        <c:axId val="46108672"/>
      </c:lineChart>
      <c:catAx>
        <c:axId val="4609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12700" cap="flat" cmpd="sng" algn="ctr"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prstDash val="solid"/>
            <a:beve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108672"/>
        <c:crosses val="autoZero"/>
        <c:auto val="0"/>
        <c:lblAlgn val="ctr"/>
        <c:lblOffset val="200"/>
        <c:noMultiLvlLbl val="0"/>
      </c:catAx>
      <c:valAx>
        <c:axId val="46108672"/>
        <c:scaling>
          <c:orientation val="minMax"/>
          <c:max val="40"/>
          <c:min val="-20"/>
        </c:scaling>
        <c:delete val="1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609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9406528189911"/>
          <c:y val="0.9145281875126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lt1"/>
    </a:solidFill>
    <a:ln w="9525" cap="rnd" cmpd="sng" algn="ctr">
      <a:solidFill>
        <a:srgbClr val="5B9BD5"/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0.77292</cdr:x>
      <cdr:y>0.13021</cdr:y>
    </cdr:from>
    <cdr:to>
      <cdr:x>0.95625</cdr:x>
      <cdr:y>0.21354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3533775" y="357188"/>
          <a:ext cx="838200" cy="2286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>
          <a:r>
            <a:rPr lang="zh-CN" altLang="en-US" sz="1100">
              <a:solidFill>
                <a:schemeClr val="bg1">
                  <a:lumMod val="50000"/>
                </a:schemeClr>
              </a:solidFill>
            </a:rPr>
            <a:t>单位：</a:t>
          </a:r>
          <a:r>
            <a:rPr lang="en-US" altLang="zh-CN" sz="1100">
              <a:solidFill>
                <a:schemeClr val="bg1">
                  <a:lumMod val="50000"/>
                </a:schemeClr>
              </a:solidFill>
            </a:rPr>
            <a:t>%</a:t>
          </a:r>
          <a:endParaRPr lang="zh-CN" altLang="en-US" sz="1100">
            <a:solidFill>
              <a:schemeClr val="bg1">
                <a:lumMod val="50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0.77292</cdr:x>
      <cdr:y>0.13021</cdr:y>
    </cdr:from>
    <cdr:to>
      <cdr:x>0.95625</cdr:x>
      <cdr:y>0.21354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3533775" y="357188"/>
          <a:ext cx="838200" cy="2286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>
          <a:r>
            <a:rPr lang="zh-CN" altLang="en-US" sz="1100">
              <a:solidFill>
                <a:schemeClr val="bg1">
                  <a:lumMod val="50000"/>
                </a:schemeClr>
              </a:solidFill>
            </a:rPr>
            <a:t>单位：</a:t>
          </a:r>
          <a:r>
            <a:rPr lang="en-US" altLang="zh-CN" sz="1100">
              <a:solidFill>
                <a:schemeClr val="bg1">
                  <a:lumMod val="50000"/>
                </a:schemeClr>
              </a:solidFill>
            </a:rPr>
            <a:t>%</a:t>
          </a:r>
          <a:endParaRPr lang="zh-CN" altLang="en-US" sz="1100">
            <a:solidFill>
              <a:schemeClr val="bg1">
                <a:lumMod val="50000"/>
              </a:schemeClr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0.77292</cdr:x>
      <cdr:y>0.13021</cdr:y>
    </cdr:from>
    <cdr:to>
      <cdr:x>0.95625</cdr:x>
      <cdr:y>0.21354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3533775" y="357188"/>
          <a:ext cx="838200" cy="2286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>
          <a:r>
            <a:rPr lang="zh-CN" altLang="en-US" sz="1100">
              <a:solidFill>
                <a:schemeClr val="bg1">
                  <a:lumMod val="50000"/>
                </a:schemeClr>
              </a:solidFill>
            </a:rPr>
            <a:t>单位：</a:t>
          </a:r>
          <a:r>
            <a:rPr lang="en-US" altLang="zh-CN" sz="1100">
              <a:solidFill>
                <a:schemeClr val="bg1">
                  <a:lumMod val="50000"/>
                </a:schemeClr>
              </a:solidFill>
            </a:rPr>
            <a:t>%</a:t>
          </a:r>
          <a:endParaRPr lang="zh-CN" altLang="en-US" sz="1100">
            <a:solidFill>
              <a:schemeClr val="bg1">
                <a:lumMod val="50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0.77292</cdr:x>
      <cdr:y>0.13021</cdr:y>
    </cdr:from>
    <cdr:to>
      <cdr:x>0.95625</cdr:x>
      <cdr:y>0.21354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3533775" y="357188"/>
          <a:ext cx="838200" cy="2286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>
          <a:r>
            <a:rPr lang="zh-CN" altLang="en-US" sz="1100">
              <a:solidFill>
                <a:schemeClr val="bg1">
                  <a:lumMod val="50000"/>
                </a:schemeClr>
              </a:solidFill>
            </a:rPr>
            <a:t>单位：</a:t>
          </a:r>
          <a:r>
            <a:rPr lang="en-US" altLang="zh-CN" sz="1100">
              <a:solidFill>
                <a:schemeClr val="bg1">
                  <a:lumMod val="50000"/>
                </a:schemeClr>
              </a:solidFill>
            </a:rPr>
            <a:t>%</a:t>
          </a:r>
          <a:endParaRPr lang="zh-CN" altLang="en-US" sz="1100">
            <a:solidFill>
              <a:schemeClr val="bg1">
                <a:lumMod val="50000"/>
              </a:schemeClr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0.77292</cdr:x>
      <cdr:y>0.13021</cdr:y>
    </cdr:from>
    <cdr:to>
      <cdr:x>0.95625</cdr:x>
      <cdr:y>0.21354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3533775" y="357188"/>
          <a:ext cx="838200" cy="2286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>
          <a:r>
            <a:rPr lang="zh-CN" altLang="en-US" sz="1100">
              <a:solidFill>
                <a:schemeClr val="bg1">
                  <a:lumMod val="50000"/>
                </a:schemeClr>
              </a:solidFill>
            </a:rPr>
            <a:t>单位：</a:t>
          </a:r>
          <a:r>
            <a:rPr lang="en-US" altLang="zh-CN" sz="1100">
              <a:solidFill>
                <a:schemeClr val="bg1">
                  <a:lumMod val="50000"/>
                </a:schemeClr>
              </a:solidFill>
            </a:rPr>
            <a:t>%</a:t>
          </a:r>
          <a:endParaRPr lang="zh-CN" altLang="en-US" sz="1100">
            <a:solidFill>
              <a:schemeClr val="bg1">
                <a:lumMod val="50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0.77292</cdr:x>
      <cdr:y>0.13021</cdr:y>
    </cdr:from>
    <cdr:to>
      <cdr:x>0.95625</cdr:x>
      <cdr:y>0.21354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3533775" y="357188"/>
          <a:ext cx="838200" cy="2286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>
          <a:r>
            <a:rPr lang="zh-CN" altLang="en-US" sz="1100">
              <a:solidFill>
                <a:schemeClr val="bg1">
                  <a:lumMod val="50000"/>
                </a:schemeClr>
              </a:solidFill>
            </a:rPr>
            <a:t>单位：</a:t>
          </a:r>
          <a:r>
            <a:rPr lang="en-US" altLang="zh-CN" sz="1100">
              <a:solidFill>
                <a:schemeClr val="bg1">
                  <a:lumMod val="50000"/>
                </a:schemeClr>
              </a:solidFill>
            </a:rPr>
            <a:t>%</a:t>
          </a:r>
          <a:endParaRPr lang="zh-CN" altLang="en-US" sz="1100">
            <a:solidFill>
              <a:schemeClr val="bg1">
                <a:lumMod val="50000"/>
              </a:schemeClr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104</Words>
  <Characters>595</Characters>
  <Lines>4</Lines>
  <Paragraphs>1</Paragraphs>
  <TotalTime>54</TotalTime>
  <ScaleCrop>false</ScaleCrop>
  <LinksUpToDate>false</LinksUpToDate>
  <CharactersWithSpaces>698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2022-06-14T09:24:00Z</dcterms:created>
  <dc:creator>陈晓溪</dc:creator>
  <cp:lastModifiedBy>HP</cp:lastModifiedBy>
  <dcterms:modified xsi:type="dcterms:W3CDTF">2024-11-12T02:08:16Z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