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3679"/>
        <w:gridCol w:w="2336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重庆两江新区康美街道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月至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</w:rPr>
              <w:t>月人民调解员补贴发放公示表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依据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《中华人民共和国人民调解法》第十六条，《重庆市人民调解条例》第七条，《重庆两江新区人民调解工作管理办法》第三十三条等相关规定。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补贴发放情况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202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6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月至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8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月，人民调解案件结案件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件，发放案件补贴合计：5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20元。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公示日期</w:t>
            </w:r>
          </w:p>
        </w:tc>
        <w:tc>
          <w:tcPr>
            <w:tcW w:w="9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监督联系人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杨娅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023—</w:t>
            </w:r>
            <w:bookmarkStart w:id="2" w:name="_GoBack"/>
            <w:bookmarkEnd w:id="2"/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63082161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案号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调解员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案件难度级别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color w:val="333333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8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9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10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11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bookmarkStart w:id="0" w:name="OLE_LINK1"/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71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  <w:bookmarkEnd w:id="0"/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13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14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15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16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17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76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18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77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19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20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21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22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bookmarkStart w:id="1" w:name="OLE_LINK2" w:colFirst="1" w:colLast="1"/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23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24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25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26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27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28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29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30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31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32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33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34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93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35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bookmarkEnd w:id="1"/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3679"/>
        <w:gridCol w:w="2336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36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37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3679"/>
        <w:gridCol w:w="2336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38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39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98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3679"/>
        <w:gridCol w:w="2336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40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渝两江康美警调（2024）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99</w:t>
            </w: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杨洪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41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4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3679"/>
        <w:gridCol w:w="2336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42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5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43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6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page" w:horzAnchor="page" w:tblpX="935" w:tblpY="1434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3679"/>
        <w:gridCol w:w="2336"/>
        <w:gridCol w:w="1941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44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45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8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46</w:t>
            </w:r>
          </w:p>
        </w:tc>
        <w:tc>
          <w:tcPr>
            <w:tcW w:w="3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auto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渝两江康美人调（2024）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9</w:t>
            </w:r>
            <w:r>
              <w:rPr>
                <w:rFonts w:ascii="auto" w:hAnsi="auto" w:eastAsia="auto" w:cs="auto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号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高永萍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一般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120元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uto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E6023"/>
    <w:rsid w:val="248C5A26"/>
    <w:rsid w:val="4F6E6023"/>
    <w:rsid w:val="BF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2025-09-23T16:45:00Z</dcterms:created>
  <dc:creator>Administrator</dc:creator>
  <cp:lastModifiedBy>kos</cp:lastModifiedBy>
  <cp:lastPrinted>2025-09-24T10:28:00Z</cp:lastPrinted>
  <dcterms:modified xsi:type="dcterms:W3CDTF">2025-09-24T16:39:34Z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187AED72EBCF809146AED3682FC50FE0</vt:lpwstr>
  </property>
</Properties>
</file>