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84" w:lineRule="exact"/>
        <w:jc w:val="left"/>
        <w:rPr>
          <w:rFonts w:ascii="方正仿宋_GBK" w:hAnsi="Times New Roman" w:eastAsia="方正仿宋_GBK"/>
          <w:color w:val="000000"/>
          <w:sz w:val="44"/>
          <w:szCs w:val="44"/>
        </w:rPr>
      </w:pPr>
    </w:p>
    <w:p>
      <w:pPr>
        <w:overflowPunct w:val="0"/>
        <w:spacing w:line="584" w:lineRule="exact"/>
        <w:jc w:val="center"/>
        <w:rPr>
          <w:rFonts w:ascii="方正小标宋_GBK" w:hAnsi="Times New Roman" w:eastAsia="方正小标宋_GBK"/>
          <w:color w:val="000000"/>
          <w:sz w:val="44"/>
          <w:szCs w:val="44"/>
        </w:rPr>
      </w:pPr>
      <w:r>
        <w:rPr>
          <w:rFonts w:hint="eastAsia" w:ascii="方正小标宋_GBK" w:hAnsi="Times New Roman" w:eastAsia="方正小标宋_GBK"/>
          <w:color w:val="000000"/>
          <w:sz w:val="44"/>
          <w:szCs w:val="44"/>
        </w:rPr>
        <w:t>重庆两江新区高新技术企业和科技型企业</w:t>
      </w:r>
    </w:p>
    <w:p>
      <w:pPr>
        <w:overflowPunct w:val="0"/>
        <w:spacing w:line="584" w:lineRule="exact"/>
        <w:jc w:val="center"/>
        <w:rPr>
          <w:rFonts w:ascii="方正小标宋_GBK" w:hAnsi="Times New Roman" w:eastAsia="方正小标宋_GBK"/>
          <w:color w:val="000000"/>
          <w:sz w:val="44"/>
          <w:szCs w:val="44"/>
        </w:rPr>
      </w:pPr>
      <w:r>
        <w:rPr>
          <w:rFonts w:hint="eastAsia" w:ascii="方正小标宋_GBK" w:hAnsi="Times New Roman" w:eastAsia="方正小标宋_GBK"/>
          <w:color w:val="000000"/>
          <w:sz w:val="44"/>
          <w:szCs w:val="44"/>
        </w:rPr>
        <w:t>“双倍增”行动计划实施方案</w:t>
      </w:r>
    </w:p>
    <w:p>
      <w:pPr>
        <w:overflowPunct w:val="0"/>
        <w:spacing w:line="584" w:lineRule="exact"/>
        <w:jc w:val="center"/>
        <w:rPr>
          <w:rFonts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w:t>
      </w:r>
      <w:r>
        <w:rPr>
          <w:rFonts w:hint="eastAsia" w:ascii="方正楷体_GBK" w:hAnsi="方正楷体_GBK" w:eastAsia="方正楷体_GBK" w:cs="方正楷体_GBK"/>
          <w:color w:val="000000"/>
          <w:sz w:val="32"/>
          <w:szCs w:val="32"/>
          <w:lang w:eastAsia="zh-CN"/>
        </w:rPr>
        <w:t>征求意见</w:t>
      </w:r>
      <w:r>
        <w:rPr>
          <w:rFonts w:hint="eastAsia" w:ascii="方正楷体_GBK" w:hAnsi="方正楷体_GBK" w:eastAsia="方正楷体_GBK" w:cs="方正楷体_GBK"/>
          <w:color w:val="000000"/>
          <w:sz w:val="32"/>
          <w:szCs w:val="32"/>
        </w:rPr>
        <w:t>稿）</w:t>
      </w:r>
    </w:p>
    <w:p>
      <w:pPr>
        <w:overflowPunct w:val="0"/>
        <w:spacing w:line="584" w:lineRule="exact"/>
        <w:rPr>
          <w:rFonts w:ascii="Times New Roman" w:hAnsi="Times New Roman" w:eastAsia="方正仿宋_GBK"/>
          <w:color w:val="000000"/>
          <w:sz w:val="32"/>
          <w:szCs w:val="32"/>
        </w:rPr>
      </w:pPr>
    </w:p>
    <w:p>
      <w:pPr>
        <w:overflowPunct w:val="0"/>
        <w:spacing w:line="580" w:lineRule="exact"/>
        <w:ind w:firstLine="640" w:firstLineChars="200"/>
        <w:rPr>
          <w:rFonts w:ascii="Times New Roman" w:hAnsi="Times New Roman" w:eastAsia="方正仿宋_GBK"/>
          <w:color w:val="000000"/>
          <w:sz w:val="32"/>
          <w:szCs w:val="32"/>
        </w:rPr>
      </w:pPr>
      <w:r>
        <w:rPr>
          <w:rFonts w:hint="eastAsia" w:ascii="Times New Roman" w:hAnsi="Times New Roman" w:eastAsia="方正仿宋_GBK"/>
          <w:color w:val="000000"/>
          <w:sz w:val="32"/>
          <w:szCs w:val="32"/>
        </w:rPr>
        <w:t>为深入实施创新驱动发展战略，加快建设具有全国影响力的科技创新中心核心承载区，不断强化企业创新主体地位，</w:t>
      </w:r>
      <w:r>
        <w:rPr>
          <w:rFonts w:hint="eastAsia" w:ascii="方正仿宋_GBK" w:eastAsia="方正仿宋_GBK"/>
          <w:color w:val="000000"/>
          <w:sz w:val="32"/>
          <w:szCs w:val="32"/>
        </w:rPr>
        <w:t>集中力量培育高新技术企业和科技型企业，</w:t>
      </w:r>
      <w:r>
        <w:rPr>
          <w:rFonts w:hint="eastAsia" w:ascii="Times New Roman" w:hAnsi="Times New Roman" w:eastAsia="方正仿宋_GBK"/>
          <w:color w:val="000000"/>
          <w:sz w:val="32"/>
          <w:szCs w:val="32"/>
        </w:rPr>
        <w:t>着力壮大高质量市场主体，按照《重庆市高新技术企业和科技型企业“双倍增”行动计划》</w:t>
      </w:r>
      <w:r>
        <w:rPr>
          <w:rFonts w:hint="eastAsia" w:ascii="方正仿宋_GBK" w:eastAsia="方正仿宋_GBK"/>
          <w:color w:val="000000"/>
          <w:sz w:val="32"/>
          <w:szCs w:val="32"/>
        </w:rPr>
        <w:t>（渝府办发</w:t>
      </w:r>
      <w:r>
        <w:rPr>
          <w:rFonts w:ascii="Times New Roman" w:hAnsi="Times New Roman" w:eastAsia="方正仿宋_GBK" w:cs="Times New Roman"/>
          <w:color w:val="000000"/>
          <w:sz w:val="32"/>
          <w:szCs w:val="32"/>
        </w:rPr>
        <w:t>〔2023〕26号）</w:t>
      </w:r>
      <w:r>
        <w:rPr>
          <w:rFonts w:hint="eastAsia" w:ascii="Times New Roman" w:hAnsi="Times New Roman" w:eastAsia="方正仿宋_GBK" w:cs="Times New Roman"/>
          <w:color w:val="000000"/>
          <w:sz w:val="32"/>
          <w:szCs w:val="32"/>
        </w:rPr>
        <w:t>和</w:t>
      </w:r>
      <w:r>
        <w:rPr>
          <w:rFonts w:hint="eastAsia" w:ascii="Times New Roman" w:hAnsi="Times New Roman" w:eastAsia="方正仿宋_GBK"/>
          <w:color w:val="000000"/>
          <w:sz w:val="32"/>
          <w:szCs w:val="32"/>
        </w:rPr>
        <w:t>《关于切实抓好高新技术企业和科技型企业“双倍增”行动计划任务落实的通知》（渝科局发</w:t>
      </w:r>
      <w:r>
        <w:rPr>
          <w:rFonts w:ascii="Times New Roman" w:hAnsi="Times New Roman" w:eastAsia="方正仿宋_GBK" w:cs="Times New Roman"/>
          <w:color w:val="000000"/>
          <w:sz w:val="32"/>
          <w:szCs w:val="32"/>
        </w:rPr>
        <w:t>〔202</w:t>
      </w:r>
      <w:r>
        <w:rPr>
          <w:rFonts w:hint="eastAsia" w:ascii="Times New Roman" w:hAnsi="Times New Roman" w:eastAsia="方正仿宋_GBK" w:cs="Times New Roman"/>
          <w:color w:val="000000"/>
          <w:sz w:val="32"/>
          <w:szCs w:val="32"/>
        </w:rPr>
        <w:t>3</w:t>
      </w:r>
      <w:r>
        <w:rPr>
          <w:rFonts w:ascii="Times New Roman" w:hAnsi="Times New Roman" w:eastAsia="方正仿宋_GBK" w:cs="Times New Roman"/>
          <w:color w:val="000000"/>
          <w:sz w:val="32"/>
          <w:szCs w:val="32"/>
        </w:rPr>
        <w:t>〕</w:t>
      </w:r>
      <w:r>
        <w:rPr>
          <w:rFonts w:hint="eastAsia" w:ascii="Times New Roman" w:hAnsi="Times New Roman" w:eastAsia="方正仿宋_GBK" w:cs="Times New Roman"/>
          <w:color w:val="000000"/>
          <w:sz w:val="32"/>
          <w:szCs w:val="32"/>
        </w:rPr>
        <w:t>37</w:t>
      </w:r>
      <w:r>
        <w:rPr>
          <w:rFonts w:ascii="Times New Roman" w:hAnsi="Times New Roman" w:eastAsia="方正仿宋_GBK" w:cs="Times New Roman"/>
          <w:color w:val="000000"/>
          <w:sz w:val="32"/>
          <w:szCs w:val="32"/>
        </w:rPr>
        <w:t>号</w:t>
      </w:r>
      <w:r>
        <w:rPr>
          <w:rFonts w:hint="eastAsia" w:ascii="Times New Roman" w:hAnsi="Times New Roman" w:eastAsia="方正仿宋_GBK" w:cs="Times New Roman"/>
          <w:bCs/>
          <w:color w:val="000000"/>
          <w:sz w:val="32"/>
          <w:szCs w:val="32"/>
        </w:rPr>
        <w:t>）</w:t>
      </w:r>
      <w:r>
        <w:rPr>
          <w:rFonts w:ascii="Times New Roman" w:hAnsi="Times New Roman" w:eastAsia="方正仿宋_GBK" w:cs="Times New Roman"/>
          <w:color w:val="000000"/>
          <w:sz w:val="32"/>
          <w:szCs w:val="32"/>
        </w:rPr>
        <w:t>要</w:t>
      </w:r>
      <w:r>
        <w:rPr>
          <w:rFonts w:hint="eastAsia" w:ascii="方正仿宋_GBK" w:eastAsia="方正仿宋_GBK"/>
          <w:color w:val="000000"/>
          <w:sz w:val="32"/>
          <w:szCs w:val="32"/>
        </w:rPr>
        <w:t>求，结合两江新区实际，</w:t>
      </w:r>
      <w:r>
        <w:rPr>
          <w:rFonts w:hint="eastAsia" w:ascii="Times New Roman" w:hAnsi="Times New Roman" w:eastAsia="方正仿宋_GBK"/>
          <w:color w:val="000000"/>
          <w:sz w:val="32"/>
          <w:szCs w:val="32"/>
        </w:rPr>
        <w:t>制定本方案。</w:t>
      </w:r>
    </w:p>
    <w:p>
      <w:pPr>
        <w:overflowPunct w:val="0"/>
        <w:spacing w:line="580" w:lineRule="exact"/>
        <w:ind w:firstLine="640" w:firstLineChars="200"/>
        <w:rPr>
          <w:rFonts w:ascii="方正黑体_GBK" w:hAnsi="Times New Roman" w:eastAsia="方正黑体_GBK"/>
          <w:color w:val="000000"/>
          <w:sz w:val="32"/>
          <w:szCs w:val="32"/>
        </w:rPr>
      </w:pPr>
      <w:r>
        <w:rPr>
          <w:rFonts w:hint="eastAsia" w:ascii="方正黑体_GBK" w:hAnsi="Times New Roman" w:eastAsia="方正黑体_GBK"/>
          <w:color w:val="000000"/>
          <w:sz w:val="32"/>
          <w:szCs w:val="32"/>
        </w:rPr>
        <w:t>一、总体思路</w:t>
      </w:r>
    </w:p>
    <w:p>
      <w:pPr>
        <w:overflowPunct w:val="0"/>
        <w:spacing w:line="580" w:lineRule="exact"/>
        <w:ind w:firstLine="640" w:firstLineChars="200"/>
        <w:rPr>
          <w:rFonts w:ascii="方正仿宋_GBK" w:hAnsi="FZFSK--GBK1-0" w:eastAsia="方正仿宋_GBK"/>
          <w:color w:val="000000"/>
          <w:sz w:val="32"/>
          <w:szCs w:val="32"/>
        </w:rPr>
      </w:pPr>
      <w:r>
        <w:rPr>
          <w:rFonts w:hint="eastAsia" w:ascii="方正仿宋_GBK" w:hAnsi="FZFSK--GBK1-0" w:eastAsia="方正仿宋_GBK"/>
          <w:color w:val="000000"/>
          <w:sz w:val="32"/>
          <w:szCs w:val="32"/>
        </w:rPr>
        <w:t>坚持以习近平新时代中国特色社会主义思想为指导，全面贯彻党的二十大和二十届二中全会精神，深入落实习近平总书记对重庆所作重要讲话和系列重要指示批示精神，按照市委六届二次全会部署，根据党工委、管委会相关要求，紧扣加快建设具有全国影响力的科技创新中心核心承载区目标，</w:t>
      </w:r>
      <w:r>
        <w:rPr>
          <w:rFonts w:hint="eastAsia" w:ascii="Times New Roman" w:hAnsi="Times New Roman" w:eastAsia="方正仿宋_GBK" w:cs="方正仿宋_GBK"/>
          <w:color w:val="000000"/>
          <w:sz w:val="32"/>
          <w:szCs w:val="32"/>
        </w:rPr>
        <w:t>持续推进以大数据智能化为引领的创新驱动发展，抢抓龙盛新城建设社会主义现代化新重庆先行示范区战略机遇，坚持“科创+产业”发展道路，按照政府引导、多方联动、贴近服务、量质齐升的原则，</w:t>
      </w:r>
      <w:r>
        <w:rPr>
          <w:rFonts w:hint="eastAsia" w:ascii="Times New Roman" w:hAnsi="Times New Roman" w:eastAsia="方正仿宋_GBK" w:cs="Times New Roman"/>
          <w:color w:val="000000"/>
          <w:sz w:val="32"/>
          <w:szCs w:val="32"/>
        </w:rPr>
        <w:t>构建全周期梯次培育体系，集成人才、平台、资本、项目等要素，不断增强企业技术创新能力和市场竞争实力，加快培育高新技术企业和科技型企业，</w:t>
      </w:r>
      <w:r>
        <w:rPr>
          <w:rFonts w:hint="eastAsia" w:ascii="方正仿宋_GBK" w:hAnsi="FZFSK--GBK1-0" w:eastAsia="方正仿宋_GBK"/>
          <w:color w:val="000000"/>
          <w:sz w:val="32"/>
          <w:szCs w:val="32"/>
        </w:rPr>
        <w:t>着力夯实创新主体发展基础，壮大创新主体核心力量，引领创新主体集群发展，服务构建现代化产业体系。</w:t>
      </w:r>
    </w:p>
    <w:p>
      <w:pPr>
        <w:overflowPunct w:val="0"/>
        <w:spacing w:line="580" w:lineRule="exact"/>
        <w:ind w:firstLine="640" w:firstLineChars="200"/>
        <w:rPr>
          <w:rFonts w:ascii="方正仿宋_GBK" w:hAnsi="FZFSK--GBK1-0" w:eastAsia="方正仿宋_GBK"/>
          <w:color w:val="000000"/>
          <w:sz w:val="32"/>
          <w:szCs w:val="32"/>
        </w:rPr>
      </w:pPr>
      <w:r>
        <w:rPr>
          <w:rFonts w:hint="eastAsia" w:ascii="方正黑体_GBK" w:hAnsi="Times New Roman" w:eastAsia="方正黑体_GBK"/>
          <w:color w:val="000000"/>
          <w:sz w:val="32"/>
          <w:szCs w:val="32"/>
        </w:rPr>
        <w:t>二、建设目标</w:t>
      </w:r>
    </w:p>
    <w:p>
      <w:pPr>
        <w:overflowPunct w:val="0"/>
        <w:spacing w:line="580" w:lineRule="exact"/>
        <w:ind w:firstLine="640" w:firstLineChars="200"/>
        <w:rPr>
          <w:rFonts w:ascii="方正仿宋_GBK" w:eastAsia="方正仿宋_GBK"/>
          <w:color w:val="000000"/>
          <w:sz w:val="32"/>
          <w:szCs w:val="32"/>
          <w:shd w:val="clear" w:color="auto" w:fill="FFFFFF"/>
        </w:rPr>
      </w:pPr>
      <w:r>
        <w:rPr>
          <w:rFonts w:hint="eastAsia" w:ascii="Times New Roman" w:hAnsi="Times New Roman" w:eastAsia="方正仿宋_GBK"/>
          <w:color w:val="000000"/>
          <w:sz w:val="32"/>
          <w:szCs w:val="32"/>
        </w:rPr>
        <w:t>建立健全两江新区高新技术企业和科技型企业“双倍增”机制，聚焦创新链产业链资金链人才链深度融合，完善政策扶持体系，建成覆盖科技创新全链条的服务体系，营造一流创新创业氛围，促进高新技术企业和科技型企业蓬勃发展。到</w:t>
      </w:r>
      <w:r>
        <w:rPr>
          <w:rFonts w:ascii="Times New Roman" w:hAnsi="Times New Roman" w:eastAsia="方正仿宋_GBK"/>
          <w:color w:val="000000"/>
          <w:sz w:val="32"/>
          <w:szCs w:val="32"/>
        </w:rPr>
        <w:t>202</w:t>
      </w:r>
      <w:r>
        <w:rPr>
          <w:rFonts w:hint="eastAsia" w:ascii="Times New Roman" w:hAnsi="Times New Roman" w:eastAsia="方正仿宋_GBK"/>
          <w:color w:val="000000"/>
          <w:sz w:val="32"/>
          <w:szCs w:val="32"/>
        </w:rPr>
        <w:t>5</w:t>
      </w:r>
      <w:r>
        <w:rPr>
          <w:rFonts w:ascii="Times New Roman" w:hAnsi="Times New Roman" w:eastAsia="方正仿宋_GBK"/>
          <w:color w:val="000000"/>
          <w:sz w:val="32"/>
          <w:szCs w:val="32"/>
        </w:rPr>
        <w:t>年，高</w:t>
      </w:r>
      <w:r>
        <w:rPr>
          <w:rFonts w:hint="eastAsia" w:ascii="Times New Roman" w:hAnsi="Times New Roman" w:eastAsia="方正仿宋_GBK"/>
          <w:color w:val="000000"/>
          <w:sz w:val="32"/>
          <w:szCs w:val="32"/>
        </w:rPr>
        <w:t>新技术企业达到1350</w:t>
      </w:r>
      <w:r>
        <w:rPr>
          <w:rFonts w:ascii="Times New Roman" w:hAnsi="Times New Roman" w:eastAsia="方正仿宋_GBK"/>
          <w:color w:val="000000"/>
          <w:sz w:val="32"/>
          <w:szCs w:val="32"/>
        </w:rPr>
        <w:t>家、科技型企业</w:t>
      </w:r>
      <w:r>
        <w:rPr>
          <w:rFonts w:hint="eastAsia" w:ascii="Times New Roman" w:hAnsi="Times New Roman" w:eastAsia="方正仿宋_GBK"/>
          <w:color w:val="000000"/>
          <w:sz w:val="32"/>
          <w:szCs w:val="32"/>
        </w:rPr>
        <w:t>达到7000</w:t>
      </w:r>
      <w:r>
        <w:rPr>
          <w:rFonts w:ascii="Times New Roman" w:hAnsi="Times New Roman" w:eastAsia="方正仿宋_GBK"/>
          <w:color w:val="000000"/>
          <w:sz w:val="32"/>
          <w:szCs w:val="32"/>
        </w:rPr>
        <w:t>家</w:t>
      </w:r>
      <w:r>
        <w:rPr>
          <w:rFonts w:hint="eastAsia" w:ascii="Times New Roman" w:hAnsi="Times New Roman" w:eastAsia="方正仿宋_GBK"/>
          <w:color w:val="000000"/>
          <w:sz w:val="32"/>
          <w:szCs w:val="32"/>
        </w:rPr>
        <w:t>，战略性新兴产业产值占规上工业总产值比重超过</w:t>
      </w:r>
      <w:r>
        <w:rPr>
          <w:rFonts w:ascii="Times New Roman" w:hAnsi="Times New Roman" w:eastAsia="方正仿宋_GBK"/>
          <w:color w:val="000000"/>
          <w:sz w:val="32"/>
          <w:szCs w:val="32"/>
        </w:rPr>
        <w:t>57%。到2027年，</w:t>
      </w:r>
      <w:r>
        <w:rPr>
          <w:rFonts w:hint="eastAsia" w:ascii="Times New Roman" w:hAnsi="Times New Roman" w:eastAsia="方正仿宋_GBK"/>
          <w:color w:val="000000"/>
          <w:sz w:val="32"/>
          <w:szCs w:val="32"/>
        </w:rPr>
        <w:t>高新技术企业达到1800</w:t>
      </w:r>
      <w:r>
        <w:rPr>
          <w:rFonts w:ascii="Times New Roman" w:hAnsi="Times New Roman" w:eastAsia="方正仿宋_GBK"/>
          <w:color w:val="000000"/>
          <w:sz w:val="32"/>
          <w:szCs w:val="32"/>
        </w:rPr>
        <w:t>家</w:t>
      </w:r>
      <w:r>
        <w:rPr>
          <w:rFonts w:hint="eastAsia" w:ascii="Times New Roman" w:hAnsi="Times New Roman" w:eastAsia="方正仿宋_GBK"/>
          <w:color w:val="000000"/>
          <w:sz w:val="32"/>
          <w:szCs w:val="32"/>
        </w:rPr>
        <w:t>、科技型企业超过8000家，国家专精特新“小巨人”企业超过</w:t>
      </w:r>
      <w:r>
        <w:rPr>
          <w:rFonts w:ascii="Times New Roman" w:hAnsi="Times New Roman" w:eastAsia="方正仿宋_GBK"/>
          <w:color w:val="000000"/>
          <w:sz w:val="32"/>
          <w:szCs w:val="32"/>
        </w:rPr>
        <w:t>7</w:t>
      </w:r>
      <w:r>
        <w:rPr>
          <w:rFonts w:hint="eastAsia" w:ascii="Times New Roman" w:hAnsi="Times New Roman" w:eastAsia="方正仿宋_GBK"/>
          <w:color w:val="000000"/>
          <w:sz w:val="32"/>
          <w:szCs w:val="32"/>
        </w:rPr>
        <w:t>0家</w:t>
      </w:r>
      <w:r>
        <w:rPr>
          <w:rFonts w:ascii="Times New Roman" w:hAnsi="Times New Roman" w:eastAsia="方正仿宋_GBK"/>
          <w:color w:val="000000"/>
          <w:sz w:val="32"/>
          <w:szCs w:val="32"/>
        </w:rPr>
        <w:t>。</w:t>
      </w:r>
    </w:p>
    <w:p>
      <w:pPr>
        <w:overflowPunct w:val="0"/>
        <w:spacing w:line="580" w:lineRule="exact"/>
        <w:ind w:firstLine="640" w:firstLineChars="200"/>
        <w:rPr>
          <w:rFonts w:ascii="Times New Roman" w:hAnsi="Times New Roman" w:eastAsia="方正仿宋_GBK"/>
          <w:color w:val="000000"/>
          <w:sz w:val="32"/>
          <w:szCs w:val="32"/>
        </w:rPr>
      </w:pPr>
      <w:r>
        <w:rPr>
          <w:rFonts w:hint="eastAsia" w:ascii="方正黑体_GBK" w:hAnsi="Times New Roman" w:eastAsia="方正黑体_GBK"/>
          <w:color w:val="000000"/>
          <w:sz w:val="32"/>
          <w:szCs w:val="32"/>
        </w:rPr>
        <w:t>三、重点任务</w:t>
      </w:r>
    </w:p>
    <w:p>
      <w:pPr>
        <w:overflowPunct w:val="0"/>
        <w:spacing w:line="580" w:lineRule="exact"/>
        <w:ind w:firstLine="640" w:firstLineChars="200"/>
        <w:rPr>
          <w:rFonts w:ascii="方正楷体_GBK" w:hAnsi="Times New Roman" w:eastAsia="方正楷体_GBK"/>
          <w:color w:val="000000"/>
          <w:sz w:val="32"/>
          <w:szCs w:val="32"/>
        </w:rPr>
      </w:pPr>
      <w:r>
        <w:rPr>
          <w:rFonts w:hint="eastAsia" w:ascii="方正楷体_GBK" w:hAnsi="Times New Roman" w:eastAsia="方正楷体_GBK"/>
          <w:color w:val="000000"/>
          <w:sz w:val="32"/>
          <w:szCs w:val="32"/>
        </w:rPr>
        <w:t>（一）着力构建科技企业梯次培育体系</w:t>
      </w:r>
    </w:p>
    <w:p>
      <w:pPr>
        <w:overflowPunct w:val="0"/>
        <w:spacing w:line="580" w:lineRule="exact"/>
        <w:ind w:firstLine="640" w:firstLineChars="200"/>
        <w:rPr>
          <w:rFonts w:ascii="Times New Roman" w:hAnsi="Times New Roman" w:eastAsia="方正仿宋_GBK"/>
          <w:color w:val="000000"/>
          <w:sz w:val="32"/>
          <w:szCs w:val="32"/>
        </w:rPr>
      </w:pPr>
      <w:r>
        <w:rPr>
          <w:rFonts w:ascii="Times New Roman" w:hAnsi="Times New Roman" w:eastAsia="方正楷体_GBK" w:cs="Times New Roman"/>
          <w:color w:val="000000"/>
          <w:sz w:val="32"/>
          <w:szCs w:val="32"/>
        </w:rPr>
        <w:t>1</w:t>
      </w:r>
      <w:r>
        <w:rPr>
          <w:rFonts w:hint="eastAsia" w:ascii="Times New Roman" w:hAnsi="Times New Roman" w:eastAsia="方正楷体_GBK" w:cs="Times New Roman"/>
          <w:color w:val="000000"/>
          <w:sz w:val="32"/>
          <w:szCs w:val="32"/>
        </w:rPr>
        <w:t>.</w:t>
      </w:r>
      <w:r>
        <w:rPr>
          <w:rFonts w:hint="eastAsia" w:ascii="Times New Roman" w:hAnsi="Times New Roman" w:eastAsia="方正仿宋_GBK"/>
          <w:color w:val="000000"/>
          <w:sz w:val="32"/>
          <w:szCs w:val="32"/>
        </w:rPr>
        <w:t>持续壮大科技型企业</w:t>
      </w:r>
      <w:r>
        <w:rPr>
          <w:rFonts w:ascii="Times New Roman" w:hAnsi="Times New Roman" w:eastAsia="方正仿宋_GBK"/>
          <w:color w:val="000000"/>
          <w:sz w:val="32"/>
          <w:szCs w:val="32"/>
        </w:rPr>
        <w:t>。</w:t>
      </w:r>
      <w:r>
        <w:rPr>
          <w:rFonts w:hint="eastAsia" w:ascii="Times New Roman" w:hAnsi="Times New Roman" w:eastAsia="方正仿宋_GBK"/>
          <w:color w:val="000000"/>
          <w:sz w:val="32"/>
          <w:szCs w:val="32"/>
        </w:rPr>
        <w:t>对照科技型企业认定标准，全面摸底两江新区市场主体资源，每年遴选</w:t>
      </w:r>
      <w:r>
        <w:rPr>
          <w:rFonts w:ascii="Times New Roman" w:hAnsi="Times New Roman" w:eastAsia="方正仿宋_GBK"/>
          <w:color w:val="000000"/>
          <w:sz w:val="32"/>
          <w:szCs w:val="32"/>
        </w:rPr>
        <w:t>2000家具备创新属性的中小微企</w:t>
      </w:r>
      <w:r>
        <w:rPr>
          <w:rFonts w:hint="eastAsia" w:ascii="Times New Roman" w:hAnsi="Times New Roman" w:eastAsia="方正仿宋_GBK"/>
          <w:color w:val="000000"/>
          <w:sz w:val="32"/>
          <w:szCs w:val="32"/>
        </w:rPr>
        <w:t>业建立科技型企业培育库。形成两江新区工作合力，建立行业部门、园区公司、街道常态化沟通联系机制，下沉服务力量，加大精准培育力度。对新认定的科技型企业给予政策奖励，支持科技型企业申请两江新区科技金融产品，鼓励政府购买服务向科技型中小微企业倾斜。</w:t>
      </w:r>
    </w:p>
    <w:p>
      <w:pPr>
        <w:autoSpaceDE w:val="0"/>
        <w:autoSpaceDN w:val="0"/>
        <w:adjustRightInd w:val="0"/>
        <w:spacing w:line="580" w:lineRule="exact"/>
        <w:ind w:firstLine="640" w:firstLineChars="200"/>
        <w:rPr>
          <w:rFonts w:ascii="方正楷体_GBK" w:hAnsi="Times New Roman" w:eastAsia="方正楷体_GBK"/>
          <w:color w:val="000000"/>
          <w:sz w:val="32"/>
          <w:szCs w:val="32"/>
        </w:rPr>
      </w:pPr>
      <w:r>
        <w:rPr>
          <w:rFonts w:ascii="Times New Roman" w:hAnsi="Times New Roman" w:eastAsia="方正仿宋_GBK" w:cs="Times New Roman"/>
          <w:color w:val="000000"/>
          <w:sz w:val="32"/>
          <w:szCs w:val="32"/>
        </w:rPr>
        <w:t>2</w:t>
      </w:r>
      <w:r>
        <w:rPr>
          <w:rFonts w:hint="eastAsia" w:ascii="Times New Roman" w:hAnsi="Times New Roman" w:eastAsia="方正仿宋_GBK" w:cs="Times New Roman"/>
          <w:color w:val="000000"/>
          <w:sz w:val="32"/>
          <w:szCs w:val="32"/>
        </w:rPr>
        <w:t>.</w:t>
      </w:r>
      <w:r>
        <w:rPr>
          <w:rFonts w:hint="eastAsia" w:ascii="Times New Roman" w:hAnsi="Times New Roman" w:eastAsia="方正仿宋_GBK"/>
          <w:color w:val="000000"/>
          <w:sz w:val="32"/>
          <w:szCs w:val="32"/>
        </w:rPr>
        <w:t>精准引育高新技术企业</w:t>
      </w:r>
      <w:r>
        <w:rPr>
          <w:rFonts w:ascii="Times New Roman" w:hAnsi="Times New Roman" w:eastAsia="方正仿宋_GBK"/>
          <w:color w:val="000000"/>
          <w:sz w:val="32"/>
          <w:szCs w:val="32"/>
        </w:rPr>
        <w:t>。</w:t>
      </w:r>
      <w:r>
        <w:rPr>
          <w:rFonts w:hint="eastAsia" w:ascii="Times New Roman" w:hAnsi="Times New Roman" w:eastAsia="方正仿宋_GBK"/>
          <w:color w:val="000000"/>
          <w:sz w:val="32"/>
          <w:szCs w:val="32"/>
        </w:rPr>
        <w:t>每年遴选不少于</w:t>
      </w:r>
      <w:r>
        <w:rPr>
          <w:rFonts w:ascii="Times New Roman" w:hAnsi="Times New Roman" w:eastAsia="方正仿宋_GBK"/>
          <w:color w:val="000000"/>
          <w:sz w:val="32"/>
          <w:szCs w:val="32"/>
        </w:rPr>
        <w:t>300</w:t>
      </w:r>
      <w:r>
        <w:rPr>
          <w:rFonts w:hint="eastAsia" w:ascii="Times New Roman" w:hAnsi="Times New Roman" w:eastAsia="方正仿宋_GBK"/>
          <w:color w:val="000000"/>
          <w:sz w:val="32"/>
          <w:szCs w:val="32"/>
        </w:rPr>
        <w:t>家发展基础好、创新能力强、增长潜力大的科技型企业建立高新技术企业培育库。组建企业服务专班，联合行业部门、园区公司、街道和第三方服务机构提供专项服务，对潜在高新技术企业进行集中辅导，引导企业加大研发投入、加强关键领域知识产权布局、强化规范管理，尽快成长为高新技术企业。对通过认定的高新技术企业给予政策奖励，支持其牵头承担国家和市级重点研发计划，鼓励高新技术企业联合科研院所组建产业创新联合体，共同开展关键核心技术攻关。围绕两江新区汽车、电子信息、高端装备、生物医药等优势产业发展布局，强化产业补链延链强链，优化招商引资投资举措，加快引进一批高新技术企业。</w:t>
      </w:r>
    </w:p>
    <w:p>
      <w:pPr>
        <w:spacing w:line="580" w:lineRule="exact"/>
        <w:ind w:firstLine="640" w:firstLineChars="200"/>
        <w:rPr>
          <w:rFonts w:ascii="方正楷体_GBK" w:hAnsi="Times New Roman" w:eastAsia="方正楷体_GBK"/>
          <w:color w:val="000000"/>
          <w:sz w:val="32"/>
          <w:szCs w:val="32"/>
        </w:rPr>
      </w:pPr>
      <w:r>
        <w:rPr>
          <w:rFonts w:hint="eastAsia" w:ascii="Times New Roman" w:hAnsi="Times New Roman" w:eastAsia="方正仿宋_GBK"/>
          <w:color w:val="000000"/>
          <w:sz w:val="32"/>
          <w:szCs w:val="32"/>
        </w:rPr>
        <w:t>3.加快培育科技领军企业。聚焦重点产业链条，动态遴选</w:t>
      </w:r>
      <w:r>
        <w:rPr>
          <w:rFonts w:ascii="Times New Roman" w:hAnsi="Times New Roman" w:eastAsia="方正仿宋_GBK"/>
          <w:color w:val="000000"/>
          <w:sz w:val="32"/>
          <w:szCs w:val="32"/>
        </w:rPr>
        <w:t>200</w:t>
      </w:r>
      <w:r>
        <w:rPr>
          <w:rFonts w:hint="eastAsia" w:ascii="Times New Roman" w:hAnsi="Times New Roman" w:eastAsia="方正仿宋_GBK"/>
          <w:color w:val="000000"/>
          <w:sz w:val="32"/>
          <w:szCs w:val="32"/>
        </w:rPr>
        <w:t>家拥有核心技术、成长动能强劲的高新技术企业、专精特新企业、拟上市企业等重点优质企业，建立两江新区科技领军企业培育库。完善</w:t>
      </w:r>
      <w:r>
        <w:rPr>
          <w:rFonts w:hint="eastAsia" w:ascii="Times New Roman" w:hAnsi="Times New Roman" w:eastAsia="方正仿宋_GBK"/>
          <w:color w:val="000000"/>
          <w:sz w:val="33"/>
          <w:szCs w:val="33"/>
        </w:rPr>
        <w:t>领军企业</w:t>
      </w:r>
      <w:r>
        <w:rPr>
          <w:rFonts w:hint="eastAsia" w:ascii="Times New Roman" w:hAnsi="Times New Roman" w:eastAsia="方正仿宋_GBK"/>
          <w:color w:val="000000"/>
          <w:sz w:val="32"/>
          <w:szCs w:val="32"/>
        </w:rPr>
        <w:t>评价模型，</w:t>
      </w:r>
      <w:r>
        <w:rPr>
          <w:rFonts w:ascii="Times New Roman" w:hAnsi="Times New Roman" w:eastAsia="方正仿宋_GBK"/>
          <w:color w:val="000000"/>
          <w:sz w:val="33"/>
          <w:szCs w:val="33"/>
        </w:rPr>
        <w:t>按</w:t>
      </w:r>
      <w:r>
        <w:rPr>
          <w:rFonts w:hint="eastAsia" w:ascii="Times New Roman" w:hAnsi="Times New Roman" w:eastAsia="方正仿宋_GBK"/>
          <w:color w:val="000000"/>
          <w:sz w:val="33"/>
          <w:szCs w:val="33"/>
        </w:rPr>
        <w:t>“</w:t>
      </w:r>
      <w:r>
        <w:rPr>
          <w:rFonts w:ascii="Times New Roman" w:hAnsi="Times New Roman" w:eastAsia="方正仿宋_GBK"/>
          <w:color w:val="000000"/>
          <w:sz w:val="33"/>
          <w:szCs w:val="33"/>
        </w:rPr>
        <w:t>3+3</w:t>
      </w:r>
      <w:r>
        <w:rPr>
          <w:rFonts w:hint="eastAsia" w:ascii="Times New Roman" w:hAnsi="Times New Roman" w:eastAsia="方正仿宋_GBK"/>
          <w:color w:val="000000"/>
          <w:sz w:val="33"/>
          <w:szCs w:val="33"/>
        </w:rPr>
        <w:t>”</w:t>
      </w:r>
      <w:r>
        <w:rPr>
          <w:rFonts w:ascii="Times New Roman" w:hAnsi="Times New Roman" w:eastAsia="方正仿宋_GBK"/>
          <w:color w:val="000000"/>
          <w:sz w:val="33"/>
          <w:szCs w:val="33"/>
        </w:rPr>
        <w:t>标准建立全新评价模型，</w:t>
      </w:r>
      <w:r>
        <w:rPr>
          <w:rFonts w:hint="eastAsia" w:ascii="Times New Roman" w:hAnsi="Times New Roman" w:eastAsia="方正仿宋_GBK"/>
          <w:color w:val="000000"/>
          <w:sz w:val="33"/>
          <w:szCs w:val="33"/>
        </w:rPr>
        <w:t>按照</w:t>
      </w:r>
      <w:r>
        <w:rPr>
          <w:rFonts w:ascii="Times New Roman" w:hAnsi="Times New Roman" w:eastAsia="方正仿宋_GBK"/>
          <w:color w:val="000000"/>
          <w:sz w:val="33"/>
          <w:szCs w:val="33"/>
        </w:rPr>
        <w:t>生命周期、发展能力、投资价值</w:t>
      </w:r>
      <w:r>
        <w:rPr>
          <w:rFonts w:hint="eastAsia" w:ascii="Times New Roman" w:hAnsi="Times New Roman" w:eastAsia="方正仿宋_GBK"/>
          <w:color w:val="000000"/>
          <w:sz w:val="33"/>
          <w:szCs w:val="33"/>
        </w:rPr>
        <w:t>等维度对领军企业</w:t>
      </w:r>
      <w:r>
        <w:rPr>
          <w:rFonts w:ascii="Times New Roman" w:hAnsi="Times New Roman" w:eastAsia="方正仿宋_GBK"/>
          <w:color w:val="000000"/>
          <w:sz w:val="33"/>
          <w:szCs w:val="33"/>
        </w:rPr>
        <w:t>进行分级分类</w:t>
      </w:r>
      <w:r>
        <w:rPr>
          <w:rFonts w:hint="eastAsia" w:ascii="Times New Roman" w:hAnsi="Times New Roman" w:eastAsia="方正仿宋_GBK"/>
          <w:color w:val="000000"/>
          <w:sz w:val="33"/>
          <w:szCs w:val="33"/>
        </w:rPr>
        <w:t>管理</w:t>
      </w:r>
      <w:r>
        <w:rPr>
          <w:rFonts w:ascii="Times New Roman" w:hAnsi="Times New Roman" w:eastAsia="方正仿宋_GBK"/>
          <w:color w:val="000000"/>
          <w:sz w:val="33"/>
          <w:szCs w:val="33"/>
        </w:rPr>
        <w:t>。</w:t>
      </w:r>
      <w:r>
        <w:rPr>
          <w:rFonts w:hint="eastAsia" w:ascii="Times New Roman" w:hAnsi="Times New Roman" w:eastAsia="方正仿宋_GBK"/>
          <w:color w:val="000000"/>
          <w:sz w:val="32"/>
          <w:szCs w:val="32"/>
        </w:rPr>
        <w:t>围绕领军企业在创新能力提升、融资支持、市场开拓等方面的各类型需求，集中资本、技术、人才、项目等资源进行精准支持，加快打造专精特新“小巨人”企业和制造业单项冠军企业，大力推动优质企业上市融资。</w:t>
      </w:r>
    </w:p>
    <w:p>
      <w:pPr>
        <w:autoSpaceDE w:val="0"/>
        <w:autoSpaceDN w:val="0"/>
        <w:adjustRightInd w:val="0"/>
        <w:spacing w:line="580" w:lineRule="exact"/>
        <w:ind w:firstLine="640" w:firstLineChars="200"/>
        <w:rPr>
          <w:rFonts w:ascii="方正楷体_GBK" w:hAnsi="Times New Roman" w:eastAsia="方正楷体_GBK"/>
          <w:color w:val="000000"/>
          <w:sz w:val="32"/>
          <w:szCs w:val="32"/>
        </w:rPr>
      </w:pPr>
      <w:r>
        <w:rPr>
          <w:rFonts w:hint="eastAsia" w:ascii="方正楷体_GBK" w:hAnsi="Times New Roman" w:eastAsia="方正楷体_GBK"/>
          <w:color w:val="000000"/>
          <w:sz w:val="32"/>
          <w:szCs w:val="32"/>
        </w:rPr>
        <w:t>（二）全面提升科技企业产业创新能级</w:t>
      </w:r>
    </w:p>
    <w:p>
      <w:pPr>
        <w:autoSpaceDE w:val="0"/>
        <w:autoSpaceDN w:val="0"/>
        <w:adjustRightInd w:val="0"/>
        <w:spacing w:line="580" w:lineRule="exact"/>
        <w:ind w:firstLine="640" w:firstLineChars="200"/>
        <w:rPr>
          <w:rFonts w:ascii="方正楷体_GBK" w:hAnsi="Times New Roman" w:eastAsia="方正楷体_GBK"/>
          <w:sz w:val="32"/>
          <w:szCs w:val="32"/>
        </w:rPr>
      </w:pPr>
      <w:r>
        <w:rPr>
          <w:rFonts w:hint="eastAsia" w:ascii="Times New Roman" w:hAnsi="Times New Roman" w:eastAsia="方正楷体_GBK" w:cs="Times New Roman"/>
          <w:sz w:val="32"/>
          <w:szCs w:val="32"/>
        </w:rPr>
        <w:t>1.</w:t>
      </w:r>
      <w:r>
        <w:rPr>
          <w:rFonts w:hint="eastAsia" w:ascii="Times New Roman" w:hAnsi="Times New Roman" w:eastAsia="方正仿宋_GBK"/>
          <w:sz w:val="32"/>
          <w:szCs w:val="32"/>
        </w:rPr>
        <w:t>支持企业自主创新</w:t>
      </w:r>
      <w:r>
        <w:rPr>
          <w:rFonts w:hint="eastAsia" w:ascii="方正楷体_GBK" w:hAnsi="Times New Roman" w:eastAsia="方正楷体_GBK"/>
          <w:sz w:val="32"/>
          <w:szCs w:val="32"/>
        </w:rPr>
        <w:t>。围绕全市“33618”现代制造业集群体系，</w:t>
      </w:r>
      <w:r>
        <w:rPr>
          <w:rFonts w:hint="eastAsia" w:ascii="Times New Roman" w:hAnsi="Times New Roman" w:eastAsia="方正仿宋_GBK"/>
          <w:sz w:val="32"/>
          <w:szCs w:val="32"/>
          <w:u w:val="none"/>
        </w:rPr>
        <w:t>鼓励</w:t>
      </w:r>
      <w:r>
        <w:rPr>
          <w:rFonts w:hint="eastAsia" w:ascii="Times New Roman" w:hAnsi="Times New Roman" w:eastAsia="方正仿宋_GBK"/>
          <w:sz w:val="32"/>
          <w:szCs w:val="32"/>
          <w:u w:val="none"/>
          <w:lang w:eastAsia="zh-CN"/>
        </w:rPr>
        <w:t>科技型</w:t>
      </w:r>
      <w:r>
        <w:rPr>
          <w:rFonts w:hint="eastAsia" w:ascii="Times New Roman" w:hAnsi="Times New Roman" w:eastAsia="方正仿宋_GBK"/>
          <w:sz w:val="32"/>
          <w:szCs w:val="32"/>
          <w:u w:val="none"/>
        </w:rPr>
        <w:t>企业、科研院所、顶尖科学家及团队来区设立新型企业研发机构</w:t>
      </w:r>
      <w:r>
        <w:rPr>
          <w:rFonts w:hint="eastAsia" w:ascii="Times New Roman" w:hAnsi="Times New Roman" w:eastAsia="方正仿宋_GBK"/>
          <w:sz w:val="32"/>
          <w:szCs w:val="32"/>
          <w:u w:val="none"/>
        </w:rPr>
        <w:t>。</w:t>
      </w:r>
      <w:r>
        <w:rPr>
          <w:rFonts w:hint="eastAsia" w:ascii="Times New Roman" w:hAnsi="Times New Roman" w:eastAsia="方正仿宋_GBK"/>
          <w:sz w:val="32"/>
          <w:szCs w:val="32"/>
        </w:rPr>
        <w:t>引导科技企业重组（新建）研发中心、研究院、新型研发机构等科技创新平台，支持有条件的科技企业建设重点实验室、技术创新中心、企业技术中心、制造业创新中心、工程研究中心等市级创新平台，推动企业研发机构提质扩面。大力推动科技领军企业创建国家级创新平台，提升在全国创新体系中的影响力和引领力。</w:t>
      </w:r>
    </w:p>
    <w:p>
      <w:pPr>
        <w:autoSpaceDE w:val="0"/>
        <w:autoSpaceDN w:val="0"/>
        <w:adjustRightInd w:val="0"/>
        <w:spacing w:line="580" w:lineRule="exact"/>
        <w:ind w:firstLine="640" w:firstLineChars="200"/>
        <w:rPr>
          <w:rFonts w:ascii="Times New Roman" w:hAnsi="Times New Roman" w:eastAsia="方正仿宋_GBK"/>
          <w:color w:val="000000"/>
          <w:sz w:val="32"/>
          <w:szCs w:val="32"/>
        </w:rPr>
      </w:pPr>
      <w:r>
        <w:rPr>
          <w:rFonts w:hint="eastAsia" w:ascii="Times New Roman" w:hAnsi="Times New Roman" w:eastAsia="方正仿宋_GBK"/>
          <w:color w:val="000000"/>
          <w:sz w:val="32"/>
          <w:szCs w:val="32"/>
        </w:rPr>
        <w:t>2.推进企业协同创新。加强政策引导，鼓励科技企业加大研发投入，提升企业研发活动覆盖率。强化企业主导的产学研协同创新，组织实施汽车软件、人工智能、生物医药等重大（重点）专项，形成</w:t>
      </w:r>
      <w:r>
        <w:rPr>
          <w:rFonts w:hint="eastAsia" w:ascii="方正仿宋_GBK" w:eastAsia="方正仿宋_GBK"/>
          <w:color w:val="000000"/>
          <w:sz w:val="32"/>
          <w:szCs w:val="32"/>
          <w:shd w:val="clear" w:color="auto" w:fill="FFFFFF"/>
        </w:rPr>
        <w:t>一批以高价值发明专利为核心的自主知识产权</w:t>
      </w:r>
      <w:r>
        <w:rPr>
          <w:rFonts w:hint="eastAsia" w:ascii="Times New Roman" w:hAnsi="Times New Roman" w:eastAsia="方正仿宋_GBK"/>
          <w:color w:val="000000"/>
          <w:sz w:val="32"/>
          <w:szCs w:val="32"/>
        </w:rPr>
        <w:t>。推动科技创新资源开放共享，支持研发机构搭建公共技术服务平台，促进研发设计、计量检测、生产试制等资源开放，以技术服务促进深层次产学研合作，带动企业技术研发和产品创新。</w:t>
      </w:r>
    </w:p>
    <w:p>
      <w:pPr>
        <w:spacing w:line="580" w:lineRule="exact"/>
        <w:ind w:firstLine="640" w:firstLineChars="200"/>
        <w:rPr>
          <w:color w:val="000000"/>
        </w:rPr>
      </w:pPr>
      <w:r>
        <w:rPr>
          <w:rFonts w:hint="eastAsia" w:ascii="Times New Roman" w:hAnsi="Times New Roman" w:eastAsia="方正仿宋_GBK" w:cs="Times New Roman"/>
          <w:color w:val="000000"/>
          <w:sz w:val="32"/>
          <w:szCs w:val="32"/>
        </w:rPr>
        <w:t>3.鼓励企业</w:t>
      </w:r>
      <w:r>
        <w:rPr>
          <w:rFonts w:ascii="Times New Roman" w:hAnsi="Times New Roman" w:eastAsia="方正仿宋_GBK" w:cs="Times New Roman"/>
          <w:color w:val="000000"/>
          <w:sz w:val="32"/>
          <w:szCs w:val="32"/>
        </w:rPr>
        <w:t>开放创新。</w:t>
      </w:r>
      <w:r>
        <w:rPr>
          <w:rFonts w:hint="eastAsia" w:ascii="Times New Roman" w:hAnsi="Times New Roman" w:eastAsia="方正仿宋_GBK" w:cs="Times New Roman"/>
          <w:color w:val="000000"/>
          <w:sz w:val="32"/>
          <w:szCs w:val="32"/>
        </w:rPr>
        <w:t>深化成渝双城经济圈科技交流合作，鼓励和支持两江新区龙头企业推动技术成果的跨国转移转化。围绕电子信息、汽车、生命健康、数字经济等两江新区优势产业，主动融入全球创新网络，拓宽区域科技合作渠道，积极引育平台型企业、生态型企业和行业领军企业，促进产业链上下游企业集群发展。推进国家数字经济创新发展试验区和国家新一代人工智能创新发展试验区建设，加快培育形成一批数字龙头企业和智能制造品牌。</w:t>
      </w:r>
    </w:p>
    <w:p>
      <w:pPr>
        <w:autoSpaceDE w:val="0"/>
        <w:autoSpaceDN w:val="0"/>
        <w:adjustRightInd w:val="0"/>
        <w:spacing w:line="580" w:lineRule="exact"/>
        <w:ind w:firstLine="640" w:firstLineChars="200"/>
        <w:rPr>
          <w:rFonts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（三）加快推进高质量孵化载体建设</w:t>
      </w:r>
    </w:p>
    <w:p>
      <w:pPr>
        <w:autoSpaceDE w:val="0"/>
        <w:autoSpaceDN w:val="0"/>
        <w:adjustRightInd w:val="0"/>
        <w:spacing w:line="580" w:lineRule="exact"/>
        <w:ind w:firstLine="800" w:firstLineChars="250"/>
        <w:rPr>
          <w:rFonts w:ascii="Times New Roman" w:hAnsi="Times New Roman" w:eastAsia="方正仿宋_GBK"/>
          <w:color w:val="000000"/>
          <w:sz w:val="32"/>
          <w:szCs w:val="32"/>
        </w:rPr>
      </w:pPr>
      <w:r>
        <w:rPr>
          <w:rFonts w:hint="eastAsia" w:ascii="Times New Roman" w:hAnsi="Times New Roman" w:eastAsia="方正仿宋_GBK" w:cs="Times New Roman"/>
          <w:color w:val="000000"/>
          <w:sz w:val="32"/>
          <w:szCs w:val="32"/>
        </w:rPr>
        <w:t>1.重点打造大型创新创业孵化社区。</w:t>
      </w:r>
      <w:r>
        <w:rPr>
          <w:rFonts w:eastAsia="方正仿宋_GBK"/>
          <w:color w:val="000000"/>
          <w:sz w:val="32"/>
          <w:szCs w:val="32"/>
        </w:rPr>
        <w:t>依托</w:t>
      </w:r>
      <w:r>
        <w:rPr>
          <w:rFonts w:hint="eastAsia" w:eastAsia="方正仿宋_GBK"/>
          <w:color w:val="000000"/>
          <w:sz w:val="32"/>
          <w:szCs w:val="32"/>
        </w:rPr>
        <w:t>两江数字经济产业园、</w:t>
      </w:r>
      <w:r>
        <w:rPr>
          <w:rFonts w:eastAsia="方正仿宋_GBK"/>
          <w:color w:val="000000"/>
          <w:sz w:val="32"/>
          <w:szCs w:val="32"/>
        </w:rPr>
        <w:t>两江协同创新区等区域，聚力打造大型创新创业孵化社区</w:t>
      </w:r>
      <w:r>
        <w:rPr>
          <w:rFonts w:hint="eastAsia" w:eastAsia="方正仿宋_GBK"/>
          <w:color w:val="000000"/>
          <w:sz w:val="32"/>
          <w:szCs w:val="32"/>
        </w:rPr>
        <w:t>，</w:t>
      </w:r>
      <w:r>
        <w:rPr>
          <w:rFonts w:hint="eastAsia" w:ascii="Times New Roman" w:hAnsi="Times New Roman" w:eastAsia="方正仿宋_GBK" w:cs="Times New Roman"/>
          <w:color w:val="000000"/>
          <w:sz w:val="32"/>
          <w:szCs w:val="32"/>
        </w:rPr>
        <w:t>推动科技企业集聚发展</w:t>
      </w:r>
      <w:r>
        <w:rPr>
          <w:rFonts w:ascii="Times New Roman" w:hAnsi="Times New Roman" w:eastAsia="方正仿宋_GBK" w:cs="Times New Roman"/>
          <w:color w:val="000000"/>
          <w:sz w:val="32"/>
          <w:szCs w:val="32"/>
        </w:rPr>
        <w:t>。</w:t>
      </w:r>
      <w:r>
        <w:rPr>
          <w:rFonts w:hint="eastAsia" w:ascii="Times New Roman" w:hAnsi="Times New Roman" w:eastAsia="方正仿宋_GBK" w:cs="Times New Roman"/>
          <w:color w:val="000000"/>
          <w:sz w:val="32"/>
          <w:szCs w:val="32"/>
        </w:rPr>
        <w:t>立足两江数字经济产业园配套服务设施成熟和孵化载体大量聚集优势，强化数字经济引领作用，带动区域内孵化载体转型提质升级，聚焦“数字+”培育市场主体，创新数字产业集聚发展模式，打造凸显产业特色的照母山创新创业孵化社区。发挥两江协同创新区创新资源聚集优势，加快引育硬科技孵化器，完善科技服务、科技金融、中试基地、生活配套等服务和设施，营造“热带雨林”式创新生态，打造凸显协同特色的明月湖创新创业孵化社区。</w:t>
      </w:r>
      <w:r>
        <w:rPr>
          <w:rFonts w:ascii="Times New Roman" w:hAnsi="Times New Roman" w:eastAsia="方正仿宋_GBK" w:cs="Times New Roman"/>
          <w:color w:val="000000"/>
          <w:sz w:val="32"/>
          <w:szCs w:val="32"/>
        </w:rPr>
        <w:t>到202</w:t>
      </w:r>
      <w:r>
        <w:rPr>
          <w:rFonts w:hint="eastAsia" w:ascii="Times New Roman" w:hAnsi="Times New Roman" w:eastAsia="方正仿宋_GBK" w:cs="Times New Roman"/>
          <w:color w:val="000000"/>
          <w:sz w:val="32"/>
          <w:szCs w:val="32"/>
        </w:rPr>
        <w:t>7</w:t>
      </w:r>
      <w:r>
        <w:rPr>
          <w:rFonts w:ascii="Times New Roman" w:hAnsi="Times New Roman" w:eastAsia="方正仿宋_GBK" w:cs="Times New Roman"/>
          <w:color w:val="000000"/>
          <w:sz w:val="32"/>
          <w:szCs w:val="32"/>
        </w:rPr>
        <w:t>年底，建成孵化载体总面积</w:t>
      </w:r>
      <w:r>
        <w:rPr>
          <w:rFonts w:hint="eastAsia" w:ascii="Times New Roman" w:hAnsi="Times New Roman" w:eastAsia="方正仿宋_GBK" w:cs="Times New Roman"/>
          <w:color w:val="000000"/>
          <w:sz w:val="32"/>
          <w:szCs w:val="32"/>
        </w:rPr>
        <w:t>超</w:t>
      </w:r>
      <w:r>
        <w:rPr>
          <w:rFonts w:ascii="Times New Roman" w:hAnsi="Times New Roman" w:eastAsia="方正仿宋_GBK" w:cs="Times New Roman"/>
          <w:color w:val="000000"/>
          <w:sz w:val="32"/>
          <w:szCs w:val="32"/>
        </w:rPr>
        <w:t>260万平方米。</w:t>
      </w:r>
    </w:p>
    <w:p>
      <w:pPr>
        <w:autoSpaceDE w:val="0"/>
        <w:autoSpaceDN w:val="0"/>
        <w:adjustRightInd w:val="0"/>
        <w:spacing w:line="580" w:lineRule="exact"/>
        <w:ind w:firstLine="640" w:firstLineChars="200"/>
        <w:rPr>
          <w:rFonts w:ascii="Times New Roman" w:hAnsi="Times New Roman" w:eastAsia="方正仿宋_GBK" w:cs="Times New Roman"/>
          <w:color w:val="000000"/>
          <w:sz w:val="32"/>
          <w:szCs w:val="32"/>
        </w:rPr>
      </w:pPr>
      <w:r>
        <w:rPr>
          <w:rFonts w:hint="eastAsia" w:ascii="Times New Roman" w:hAnsi="Times New Roman" w:eastAsia="方正仿宋_GBK" w:cs="Times New Roman"/>
          <w:color w:val="000000"/>
          <w:sz w:val="32"/>
          <w:szCs w:val="32"/>
        </w:rPr>
        <w:t>2.加快建设大型科技企业孵化园。以龙盛新城为主战场，加快推进大型科技企业孵化园建设。按照“孵化器+加速器”模式，支持重庆汽车软件园、明月湖创新工坊等大型孵化园区建设和发展，鼓励建设运营单位发挥技术研发、高端人才、市场渠道等产业资源优势，广泛聚集优质创新创业项目，为科技企业高速成长提供低成本的空间载体。支持各产业园围绕集聚重大科创产业项目和高水平人才团队，加快招引一批科技企业入驻，打造园区“升级版”。</w:t>
      </w:r>
    </w:p>
    <w:p>
      <w:pPr>
        <w:spacing w:line="580" w:lineRule="exact"/>
        <w:ind w:firstLine="640" w:firstLineChars="200"/>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rPr>
        <w:t>3.持续推动孵化载体</w:t>
      </w:r>
      <w:r>
        <w:rPr>
          <w:rFonts w:hint="eastAsia" w:ascii="Times New Roman" w:hAnsi="Times New Roman" w:eastAsia="方正仿宋_GBK" w:cs="Times New Roman"/>
          <w:color w:val="000000"/>
          <w:sz w:val="32"/>
          <w:szCs w:val="32"/>
        </w:rPr>
        <w:t>特色化</w:t>
      </w:r>
      <w:r>
        <w:rPr>
          <w:rFonts w:ascii="Times New Roman" w:hAnsi="Times New Roman" w:eastAsia="方正仿宋_GBK" w:cs="Times New Roman"/>
          <w:color w:val="000000"/>
          <w:sz w:val="32"/>
          <w:szCs w:val="32"/>
        </w:rPr>
        <w:t>国际化发展。</w:t>
      </w:r>
      <w:r>
        <w:rPr>
          <w:rFonts w:hint="eastAsia" w:ascii="Times New Roman" w:hAnsi="Times New Roman" w:eastAsia="方正仿宋_GBK" w:cs="Times New Roman"/>
          <w:color w:val="000000"/>
          <w:sz w:val="32"/>
          <w:szCs w:val="32"/>
        </w:rPr>
        <w:t>引导各孵化载体聚焦建设布局、专业方向和发展模式，导入研发设计、高技术人才、高端设备等专业资源，进一步凸显特色化发展。</w:t>
      </w:r>
      <w:r>
        <w:rPr>
          <w:rFonts w:ascii="Times New Roman" w:hAnsi="Times New Roman" w:eastAsia="方正仿宋_GBK" w:cs="Times New Roman"/>
          <w:color w:val="000000"/>
          <w:sz w:val="32"/>
          <w:szCs w:val="32"/>
        </w:rPr>
        <w:t>加快建设国家海外人才离岸创新创业基地，依托欧美同学会和离岸基地合作中心、海外站点等，大力引进海外优质资源，打造一批国际化科技企业孵化器。支持明月湖国际智能产业科创基地、新国大重庆研究院BLOCK71、中匈技术转移中心、中瑞产业园、沪渝协同创新中心等加快发展，深化与国际知名高校、企业、孵化机构开展联合研发、跨国技术转移、跨国天使投资等合作交流，探索</w:t>
      </w:r>
      <w:r>
        <w:rPr>
          <w:rFonts w:hint="eastAsia" w:ascii="方正仿宋_GBK" w:hAnsi="方正仿宋_GBK" w:eastAsia="方正仿宋_GBK" w:cs="方正仿宋_GBK"/>
          <w:color w:val="000000"/>
          <w:sz w:val="32"/>
          <w:szCs w:val="32"/>
        </w:rPr>
        <w:t>“海外预孵化—本地加速孵化”</w:t>
      </w:r>
      <w:r>
        <w:rPr>
          <w:rFonts w:ascii="Times New Roman" w:hAnsi="Times New Roman" w:eastAsia="方正仿宋_GBK" w:cs="Times New Roman"/>
          <w:color w:val="000000"/>
          <w:sz w:val="32"/>
          <w:szCs w:val="32"/>
        </w:rPr>
        <w:t>模式。</w:t>
      </w:r>
    </w:p>
    <w:p>
      <w:pPr>
        <w:autoSpaceDE w:val="0"/>
        <w:autoSpaceDN w:val="0"/>
        <w:adjustRightInd w:val="0"/>
        <w:spacing w:line="580" w:lineRule="exact"/>
        <w:ind w:firstLine="640" w:firstLineChars="200"/>
        <w:rPr>
          <w:rFonts w:ascii="方正楷体_GBK" w:hAnsi="宋体" w:eastAsia="方正楷体_GBK"/>
          <w:color w:val="000000"/>
          <w:kern w:val="0"/>
          <w:sz w:val="32"/>
          <w:szCs w:val="32"/>
        </w:rPr>
      </w:pPr>
      <w:r>
        <w:rPr>
          <w:rFonts w:hint="eastAsia" w:ascii="方正楷体_GBK" w:hAnsi="宋体" w:eastAsia="方正楷体_GBK"/>
          <w:color w:val="000000"/>
          <w:kern w:val="0"/>
          <w:sz w:val="32"/>
          <w:szCs w:val="32"/>
        </w:rPr>
        <w:t>（四）积极优化创新创业生态</w:t>
      </w:r>
    </w:p>
    <w:p>
      <w:pPr>
        <w:spacing w:line="580" w:lineRule="exact"/>
        <w:ind w:firstLine="640" w:firstLineChars="200"/>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rPr>
        <w:t>1.完善</w:t>
      </w:r>
      <w:r>
        <w:rPr>
          <w:rFonts w:hint="eastAsia" w:ascii="Times New Roman" w:hAnsi="Times New Roman" w:eastAsia="方正仿宋_GBK" w:cs="Times New Roman"/>
          <w:color w:val="000000"/>
          <w:sz w:val="32"/>
          <w:szCs w:val="32"/>
        </w:rPr>
        <w:t>全链条</w:t>
      </w:r>
      <w:r>
        <w:rPr>
          <w:rFonts w:ascii="Times New Roman" w:hAnsi="Times New Roman" w:eastAsia="方正仿宋_GBK" w:cs="Times New Roman"/>
          <w:color w:val="000000"/>
          <w:sz w:val="32"/>
          <w:szCs w:val="32"/>
        </w:rPr>
        <w:t>金融支持体系。</w:t>
      </w:r>
      <w:r>
        <w:rPr>
          <w:rFonts w:hint="eastAsia" w:ascii="Times New Roman" w:hAnsi="Times New Roman" w:eastAsia="方正仿宋_GBK" w:cs="Times New Roman"/>
          <w:color w:val="000000"/>
          <w:sz w:val="32"/>
          <w:szCs w:val="32"/>
        </w:rPr>
        <w:t>用好</w:t>
      </w:r>
      <w:r>
        <w:rPr>
          <w:rFonts w:ascii="Times New Roman" w:hAnsi="Times New Roman" w:eastAsia="方正仿宋_GBK" w:cs="Times New Roman"/>
          <w:color w:val="000000"/>
          <w:sz w:val="32"/>
          <w:szCs w:val="32"/>
        </w:rPr>
        <w:t>投早、投小、投科技的两江新区明月湖种子基金，支持技术创新成果就地快速转化。</w:t>
      </w:r>
      <w:r>
        <w:rPr>
          <w:rFonts w:hint="eastAsia" w:ascii="Times New Roman" w:hAnsi="Times New Roman" w:eastAsia="方正仿宋_GBK" w:cs="Times New Roman"/>
          <w:color w:val="000000"/>
          <w:sz w:val="32"/>
          <w:szCs w:val="32"/>
        </w:rPr>
        <w:t>设立明月湖科创基金</w:t>
      </w:r>
      <w:r>
        <w:rPr>
          <w:rFonts w:ascii="Times New Roman" w:hAnsi="Times New Roman" w:eastAsia="方正仿宋_GBK" w:cs="Times New Roman"/>
          <w:color w:val="000000"/>
          <w:sz w:val="32"/>
          <w:szCs w:val="32"/>
        </w:rPr>
        <w:t>，聚力实现</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应投尽投</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加速科技成果资本化和产业化。大力引进市场化创业投资机构，引导带动社会资本、金融资本设立创业投资引导基金，与国有投资基金形成合力，共同推动科技企业培育发展。加大普惠金融力度，做大做优知识价值信用贷、科技成长贷、科技担保贷、科技跨境贷等金融债权产品</w:t>
      </w:r>
      <w:r>
        <w:rPr>
          <w:rFonts w:hint="eastAsia" w:ascii="Times New Roman" w:hAnsi="Times New Roman" w:eastAsia="方正仿宋_GBK" w:cs="Times New Roman"/>
          <w:color w:val="000000"/>
          <w:sz w:val="32"/>
          <w:szCs w:val="32"/>
        </w:rPr>
        <w:t>，支持科技企业创新发展</w:t>
      </w:r>
      <w:r>
        <w:rPr>
          <w:rFonts w:ascii="Times New Roman" w:hAnsi="Times New Roman" w:eastAsia="方正仿宋_GBK" w:cs="Times New Roman"/>
          <w:color w:val="000000"/>
          <w:sz w:val="32"/>
          <w:szCs w:val="32"/>
        </w:rPr>
        <w:t>。</w:t>
      </w:r>
    </w:p>
    <w:p>
      <w:pPr>
        <w:spacing w:line="580" w:lineRule="exact"/>
        <w:ind w:firstLine="640" w:firstLineChars="200"/>
        <w:rPr>
          <w:rFonts w:ascii="Times New Roman" w:hAnsi="Times New Roman" w:eastAsia="方正仿宋_GBK"/>
          <w:color w:val="000000"/>
          <w:sz w:val="32"/>
          <w:szCs w:val="32"/>
        </w:rPr>
      </w:pPr>
      <w:r>
        <w:rPr>
          <w:rFonts w:hint="eastAsia" w:ascii="Times New Roman" w:hAnsi="Times New Roman" w:eastAsia="方正仿宋_GBK" w:cs="Times New Roman"/>
          <w:color w:val="000000"/>
          <w:sz w:val="32"/>
          <w:szCs w:val="32"/>
        </w:rPr>
        <w:t>2</w:t>
      </w:r>
      <w:r>
        <w:rPr>
          <w:rFonts w:ascii="Times New Roman" w:hAnsi="Times New Roman" w:eastAsia="方正仿宋_GBK" w:cs="Times New Roman"/>
          <w:color w:val="000000"/>
          <w:sz w:val="32"/>
          <w:szCs w:val="32"/>
        </w:rPr>
        <w:t>.</w:t>
      </w:r>
      <w:r>
        <w:rPr>
          <w:rFonts w:hint="eastAsia" w:ascii="Times New Roman" w:hAnsi="Times New Roman" w:eastAsia="方正仿宋_GBK" w:cs="Times New Roman"/>
          <w:color w:val="000000"/>
          <w:sz w:val="32"/>
          <w:szCs w:val="32"/>
        </w:rPr>
        <w:t>健全成果转化服务体系。制定两江新区促进科技成果产业化行动方案，聚焦产业高质量发展需要，持续抓好项目引育、平台建设、产业集聚、生态营造。</w:t>
      </w:r>
      <w:r>
        <w:rPr>
          <w:rFonts w:ascii="Times New Roman" w:hAnsi="Times New Roman" w:eastAsia="方正仿宋_GBK" w:cs="Times New Roman"/>
          <w:color w:val="000000"/>
          <w:sz w:val="32"/>
          <w:szCs w:val="32"/>
        </w:rPr>
        <w:t>加快建设</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一带一路</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国际技术转移中心</w:t>
      </w:r>
      <w:r>
        <w:rPr>
          <w:rFonts w:hint="eastAsia" w:ascii="Times New Roman" w:hAnsi="Times New Roman" w:eastAsia="方正仿宋_GBK"/>
          <w:color w:val="000000"/>
          <w:sz w:val="32"/>
          <w:szCs w:val="32"/>
        </w:rPr>
        <w:t>，打造面向国际技术转移及科技合作的服务体系。</w:t>
      </w:r>
      <w:r>
        <w:rPr>
          <w:rFonts w:hint="eastAsia" w:ascii="Times New Roman" w:hAnsi="Times New Roman" w:eastAsia="方正仿宋_GBK" w:cs="方正仿宋_GBK"/>
          <w:color w:val="000000"/>
          <w:sz w:val="32"/>
          <w:szCs w:val="32"/>
        </w:rPr>
        <w:t>加强两江新区科技成果转移转化人才队伍建设，</w:t>
      </w:r>
      <w:r>
        <w:rPr>
          <w:rFonts w:ascii="Times New Roman" w:hAnsi="Times New Roman" w:eastAsia="方正仿宋_GBK"/>
          <w:color w:val="000000"/>
          <w:sz w:val="32"/>
          <w:szCs w:val="32"/>
        </w:rPr>
        <w:t>搭建技术转移人才培养体系，加快培育一批高水平专业化技术经理人。</w:t>
      </w:r>
      <w:r>
        <w:rPr>
          <w:rFonts w:hint="eastAsia" w:ascii="Times New Roman" w:hAnsi="Times New Roman" w:eastAsia="仿宋_GB2312" w:cs="仿宋_GB2312"/>
          <w:color w:val="000000"/>
          <w:sz w:val="32"/>
          <w:szCs w:val="32"/>
        </w:rPr>
        <w:t>加大知识产权示范和优势企业培育力度，支持高校院所高价值专利成果转化落地，支持企业培育高价值专利并转化应用，推动高新技术企业实现高价值发明专利全覆盖。</w:t>
      </w:r>
    </w:p>
    <w:p>
      <w:pPr>
        <w:spacing w:line="580" w:lineRule="exact"/>
        <w:ind w:firstLine="640" w:firstLineChars="200"/>
        <w:rPr>
          <w:rFonts w:ascii="Times New Roman" w:hAnsi="Times New Roman" w:eastAsia="方正仿宋_GBK" w:cs="方正仿宋_GBK"/>
          <w:color w:val="000000"/>
          <w:sz w:val="32"/>
          <w:szCs w:val="32"/>
        </w:rPr>
      </w:pPr>
      <w:r>
        <w:rPr>
          <w:rFonts w:hint="eastAsia" w:ascii="Times New Roman" w:hAnsi="Times New Roman" w:eastAsia="方正仿宋_GBK" w:cs="Times New Roman"/>
          <w:color w:val="000000"/>
          <w:sz w:val="32"/>
          <w:szCs w:val="32"/>
        </w:rPr>
        <w:t>3.营造创新创业良好环境。</w:t>
      </w:r>
      <w:r>
        <w:rPr>
          <w:rFonts w:ascii="Times New Roman" w:hAnsi="Times New Roman" w:eastAsia="方正仿宋_GBK" w:cs="Times New Roman"/>
          <w:color w:val="000000"/>
          <w:sz w:val="32"/>
          <w:szCs w:val="32"/>
        </w:rPr>
        <w:t>进一步做靓</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明月湖</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智汇两江</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等创新品牌</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办好明月湖国际创新创业大赛和</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智汇两江</w:t>
      </w:r>
      <w:r>
        <w:rPr>
          <w:rFonts w:hint="eastAsia" w:ascii="Times New Roman" w:hAnsi="Times New Roman" w:eastAsia="方正仿宋_GBK" w:cs="Times New Roman"/>
          <w:color w:val="000000"/>
          <w:sz w:val="32"/>
          <w:szCs w:val="32"/>
        </w:rPr>
        <w:t>”</w:t>
      </w:r>
      <w:r>
        <w:rPr>
          <w:rFonts w:ascii="Times New Roman" w:hAnsi="Times New Roman" w:eastAsia="方正仿宋_GBK" w:cs="Times New Roman"/>
          <w:color w:val="000000"/>
          <w:sz w:val="32"/>
          <w:szCs w:val="32"/>
        </w:rPr>
        <w:t>科技创新年度发布活动</w:t>
      </w:r>
      <w:r>
        <w:rPr>
          <w:rFonts w:hint="eastAsia" w:ascii="Times New Roman" w:hAnsi="Times New Roman" w:eastAsia="方正仿宋_GBK" w:cs="Times New Roman"/>
          <w:color w:val="000000"/>
          <w:sz w:val="32"/>
          <w:szCs w:val="32"/>
        </w:rPr>
        <w:t>，鼓励</w:t>
      </w:r>
      <w:r>
        <w:rPr>
          <w:rFonts w:ascii="Times New Roman" w:hAnsi="Times New Roman" w:eastAsia="方正仿宋_GBK" w:cs="Times New Roman"/>
          <w:color w:val="000000"/>
          <w:sz w:val="32"/>
          <w:szCs w:val="32"/>
        </w:rPr>
        <w:t>推动创新主体常态化、灵活性、高频次自主开展</w:t>
      </w:r>
      <w:r>
        <w:rPr>
          <w:rFonts w:hint="eastAsia" w:ascii="Times New Roman" w:hAnsi="Times New Roman" w:eastAsia="方正仿宋_GBK" w:cs="Times New Roman"/>
          <w:color w:val="000000"/>
          <w:sz w:val="32"/>
          <w:szCs w:val="32"/>
        </w:rPr>
        <w:t>各类双创活动。聚焦数字重庆建设、数字园区、数字工厂等方向，推进示范性强、显示度高、带动性广的重大应用场景开放建设，支持新技术、新产品、新服务在两江新区推广应用。围绕创新主体成长链条，加快建设</w:t>
      </w:r>
      <w:r>
        <w:rPr>
          <w:rFonts w:hint="eastAsia" w:ascii="Times New Roman" w:hAnsi="Times New Roman" w:eastAsia="方正仿宋_GBK" w:cs="方正仿宋_GBK"/>
          <w:color w:val="000000"/>
          <w:sz w:val="32"/>
          <w:szCs w:val="32"/>
        </w:rPr>
        <w:t>梯度培育数字化管理平台，用好重庆市技术要素公共服务平台，全面整合各类型科技服务机构，加强科技创新服务供给，打造更加活跃的科技服务大市场，不断激发创新创业活力。</w:t>
      </w:r>
    </w:p>
    <w:p>
      <w:pPr>
        <w:overflowPunct w:val="0"/>
        <w:spacing w:line="580" w:lineRule="exact"/>
        <w:ind w:firstLine="640" w:firstLineChars="200"/>
        <w:rPr>
          <w:rFonts w:ascii="方正黑体_GBK" w:eastAsia="方正黑体_GBK"/>
          <w:color w:val="000000"/>
          <w:sz w:val="32"/>
          <w:szCs w:val="32"/>
        </w:rPr>
      </w:pPr>
      <w:r>
        <w:rPr>
          <w:rFonts w:hint="eastAsia" w:ascii="方正黑体_GBK" w:eastAsia="方正黑体_GBK"/>
          <w:color w:val="000000"/>
          <w:sz w:val="32"/>
          <w:szCs w:val="32"/>
        </w:rPr>
        <w:t>四、保障措施</w:t>
      </w:r>
    </w:p>
    <w:p>
      <w:pPr>
        <w:spacing w:line="580" w:lineRule="exact"/>
        <w:ind w:firstLine="640" w:firstLineChars="200"/>
        <w:rPr>
          <w:rFonts w:ascii="Times New Roman" w:hAnsi="Times New Roman" w:eastAsia="方正仿宋_GBK" w:cs="Times New Roman"/>
          <w:color w:val="000000"/>
          <w:sz w:val="32"/>
          <w:szCs w:val="32"/>
        </w:rPr>
      </w:pPr>
      <w:r>
        <w:rPr>
          <w:rFonts w:hint="eastAsia" w:ascii="方正楷体_GBK" w:hAnsi="方正楷体_GBK" w:eastAsia="方正楷体_GBK" w:cs="方正楷体_GBK"/>
          <w:color w:val="000000"/>
          <w:sz w:val="32"/>
          <w:szCs w:val="32"/>
        </w:rPr>
        <w:t>（一）加强统筹协调。</w:t>
      </w:r>
      <w:r>
        <w:rPr>
          <w:rFonts w:hint="eastAsia" w:ascii="Times New Roman" w:hAnsi="Times New Roman" w:eastAsia="方正仿宋_GBK" w:cs="Times New Roman"/>
          <w:color w:val="000000"/>
          <w:sz w:val="32"/>
          <w:szCs w:val="32"/>
        </w:rPr>
        <w:t>建立两江新区高新技术企业和科技型企业“双倍增”工作协调机制，由</w:t>
      </w:r>
      <w:r>
        <w:rPr>
          <w:rFonts w:ascii="Times New Roman" w:hAnsi="Times New Roman" w:eastAsia="方正仿宋_GBK" w:cs="Times New Roman"/>
          <w:color w:val="000000"/>
          <w:sz w:val="32"/>
          <w:szCs w:val="32"/>
        </w:rPr>
        <w:t>党工委管委会</w:t>
      </w:r>
      <w:r>
        <w:rPr>
          <w:rFonts w:hint="eastAsia" w:ascii="Times New Roman" w:hAnsi="Times New Roman" w:eastAsia="方正仿宋_GBK" w:cs="Times New Roman"/>
          <w:color w:val="000000"/>
          <w:sz w:val="32"/>
          <w:szCs w:val="32"/>
        </w:rPr>
        <w:t>分管领导任召集人，两江新区各相关单位共同参与，统筹推进“双倍增”工作。科创局牵头抓好方案实施，各相关单位按照职责分工推进落实，建立目标、辅导、服务、评估等工作体系，充分发挥园区楼宇、标准厂房、新型研发机构、孵化载体等作用，全面落实目标任务。</w:t>
      </w:r>
    </w:p>
    <w:p>
      <w:pPr>
        <w:spacing w:line="580" w:lineRule="exact"/>
        <w:ind w:firstLine="640" w:firstLineChars="200"/>
        <w:rPr>
          <w:rFonts w:ascii="Times New Roman" w:hAnsi="Times New Roman" w:eastAsia="方正仿宋_GBK" w:cs="Times New Roman"/>
          <w:color w:val="000000"/>
          <w:sz w:val="32"/>
          <w:szCs w:val="32"/>
        </w:rPr>
      </w:pPr>
      <w:r>
        <w:rPr>
          <w:rFonts w:hint="eastAsia" w:ascii="方正楷体_GBK" w:hAnsi="方正楷体_GBK" w:eastAsia="方正楷体_GBK" w:cs="方正楷体_GBK"/>
          <w:color w:val="000000"/>
          <w:sz w:val="32"/>
          <w:szCs w:val="32"/>
        </w:rPr>
        <w:t>（二）加大政策支持。</w:t>
      </w:r>
      <w:r>
        <w:rPr>
          <w:rFonts w:ascii="Times New Roman" w:hAnsi="Times New Roman" w:eastAsia="方正仿宋_GBK" w:cs="Times New Roman"/>
          <w:color w:val="000000"/>
          <w:sz w:val="32"/>
          <w:szCs w:val="32"/>
          <w:u w:val="none"/>
        </w:rPr>
        <w:t>对</w:t>
      </w:r>
      <w:r>
        <w:rPr>
          <w:rFonts w:hint="eastAsia" w:ascii="Times New Roman" w:hAnsi="Times New Roman" w:eastAsia="方正仿宋_GBK" w:cs="Times New Roman"/>
          <w:color w:val="000000"/>
          <w:sz w:val="32"/>
          <w:szCs w:val="32"/>
          <w:u w:val="none"/>
          <w:lang w:eastAsia="zh-CN"/>
        </w:rPr>
        <w:t>在两江新区</w:t>
      </w:r>
      <w:r>
        <w:rPr>
          <w:rFonts w:hint="eastAsia" w:eastAsia="方正仿宋_GBK"/>
          <w:color w:val="000000"/>
          <w:sz w:val="32"/>
          <w:szCs w:val="32"/>
          <w:u w:val="none"/>
          <w:lang w:eastAsia="zh-CN"/>
        </w:rPr>
        <w:t>合法开展生产经营活动</w:t>
      </w:r>
      <w:r>
        <w:rPr>
          <w:rFonts w:ascii="Times New Roman" w:hAnsi="Times New Roman" w:eastAsia="方正仿宋_GBK" w:cs="Times New Roman"/>
          <w:color w:val="000000"/>
          <w:sz w:val="32"/>
          <w:szCs w:val="32"/>
          <w:u w:val="none"/>
        </w:rPr>
        <w:t>的</w:t>
      </w:r>
      <w:r>
        <w:rPr>
          <w:rFonts w:hint="eastAsia" w:ascii="Times New Roman" w:hAnsi="Times New Roman" w:eastAsia="方正仿宋_GBK" w:cs="Times New Roman"/>
          <w:color w:val="000000"/>
          <w:sz w:val="32"/>
          <w:szCs w:val="32"/>
          <w:u w:val="none"/>
        </w:rPr>
        <w:t>高</w:t>
      </w:r>
      <w:r>
        <w:rPr>
          <w:rFonts w:hint="eastAsia" w:ascii="Times New Roman" w:hAnsi="Times New Roman" w:eastAsia="方正仿宋_GBK" w:cs="Times New Roman"/>
          <w:color w:val="000000"/>
          <w:sz w:val="32"/>
          <w:szCs w:val="32"/>
        </w:rPr>
        <w:t>新技术企业和科技型企业</w:t>
      </w:r>
      <w:r>
        <w:rPr>
          <w:rFonts w:ascii="Times New Roman" w:hAnsi="Times New Roman" w:eastAsia="方正仿宋_GBK" w:cs="Times New Roman"/>
          <w:color w:val="000000"/>
          <w:sz w:val="32"/>
          <w:szCs w:val="32"/>
        </w:rPr>
        <w:t>，积极争取中央及市级专项资金，结合</w:t>
      </w:r>
      <w:r>
        <w:rPr>
          <w:rFonts w:hint="eastAsia" w:ascii="Times New Roman" w:hAnsi="Times New Roman" w:eastAsia="方正仿宋_GBK" w:cs="Times New Roman"/>
          <w:color w:val="000000"/>
          <w:sz w:val="32"/>
          <w:szCs w:val="32"/>
        </w:rPr>
        <w:t>两江</w:t>
      </w:r>
      <w:r>
        <w:rPr>
          <w:rFonts w:ascii="Times New Roman" w:hAnsi="Times New Roman" w:eastAsia="方正仿宋_GBK" w:cs="Times New Roman"/>
          <w:color w:val="000000"/>
          <w:sz w:val="32"/>
          <w:szCs w:val="32"/>
        </w:rPr>
        <w:t>新区产业发展专项资金，</w:t>
      </w:r>
      <w:r>
        <w:rPr>
          <w:rFonts w:hint="eastAsia" w:ascii="Times New Roman" w:hAnsi="Times New Roman" w:eastAsia="方正仿宋_GBK" w:cs="Times New Roman"/>
          <w:color w:val="000000"/>
          <w:sz w:val="32"/>
          <w:szCs w:val="32"/>
        </w:rPr>
        <w:t>进一步</w:t>
      </w:r>
      <w:r>
        <w:rPr>
          <w:rFonts w:ascii="Times New Roman" w:hAnsi="Times New Roman" w:eastAsia="方正仿宋_GBK" w:cs="Times New Roman"/>
          <w:color w:val="000000"/>
          <w:sz w:val="32"/>
          <w:szCs w:val="32"/>
        </w:rPr>
        <w:t>放大政策扶持效应。</w:t>
      </w:r>
      <w:r>
        <w:rPr>
          <w:rFonts w:hint="eastAsia" w:ascii="Times New Roman" w:hAnsi="Times New Roman" w:eastAsia="方正仿宋_GBK" w:cs="Times New Roman"/>
          <w:color w:val="000000"/>
          <w:sz w:val="32"/>
          <w:szCs w:val="32"/>
        </w:rPr>
        <w:t>落实</w:t>
      </w:r>
      <w:r>
        <w:rPr>
          <w:rFonts w:ascii="Times New Roman" w:hAnsi="Times New Roman" w:eastAsia="方正仿宋_GBK" w:cs="Times New Roman"/>
          <w:color w:val="000000"/>
          <w:sz w:val="32"/>
          <w:szCs w:val="32"/>
        </w:rPr>
        <w:t>科技创新支撑引领高质量发展若干政策措施，聚焦关键领域和重点方向，加大对</w:t>
      </w:r>
      <w:r>
        <w:rPr>
          <w:rFonts w:hint="eastAsia" w:ascii="Times New Roman" w:hAnsi="Times New Roman" w:eastAsia="方正仿宋_GBK" w:cs="Times New Roman"/>
          <w:color w:val="000000"/>
          <w:sz w:val="32"/>
          <w:szCs w:val="32"/>
        </w:rPr>
        <w:t>科技</w:t>
      </w:r>
      <w:r>
        <w:rPr>
          <w:rFonts w:ascii="Times New Roman" w:hAnsi="Times New Roman" w:eastAsia="方正仿宋_GBK" w:cs="Times New Roman"/>
          <w:color w:val="000000"/>
          <w:sz w:val="32"/>
          <w:szCs w:val="32"/>
        </w:rPr>
        <w:t>企业支持力度。进一步落实高新技术企业所得税减免、研发费用加计扣除、科研人员所得税缓缴等各项优惠政策，有力助推企业发展。</w:t>
      </w:r>
    </w:p>
    <w:p>
      <w:pPr>
        <w:spacing w:line="580" w:lineRule="exact"/>
        <w:ind w:firstLine="640" w:firstLineChars="200"/>
        <w:rPr>
          <w:rFonts w:ascii="Times New Roman" w:hAnsi="Times New Roman" w:eastAsia="方正仿宋_GBK" w:cs="Times New Roman"/>
          <w:color w:val="000000"/>
          <w:sz w:val="32"/>
          <w:szCs w:val="32"/>
        </w:rPr>
      </w:pPr>
      <w:r>
        <w:rPr>
          <w:rFonts w:hint="eastAsia" w:ascii="方正楷体_GBK" w:hAnsi="方正楷体_GBK" w:eastAsia="方正楷体_GBK" w:cs="方正楷体_GBK"/>
          <w:color w:val="000000"/>
          <w:sz w:val="32"/>
          <w:szCs w:val="32"/>
        </w:rPr>
        <w:t>（三）优化资源配置。</w:t>
      </w:r>
      <w:r>
        <w:rPr>
          <w:rFonts w:ascii="Times New Roman" w:hAnsi="Times New Roman" w:eastAsia="方正仿宋_GBK" w:cs="Times New Roman"/>
          <w:color w:val="000000"/>
          <w:sz w:val="32"/>
          <w:szCs w:val="32"/>
        </w:rPr>
        <w:t>用好市、区</w:t>
      </w:r>
      <w:r>
        <w:rPr>
          <w:rFonts w:hint="eastAsia" w:ascii="Times New Roman" w:hAnsi="Times New Roman" w:eastAsia="方正仿宋_GBK" w:cs="Times New Roman"/>
          <w:color w:val="000000"/>
          <w:sz w:val="32"/>
          <w:szCs w:val="32"/>
        </w:rPr>
        <w:t>两</w:t>
      </w:r>
      <w:r>
        <w:rPr>
          <w:rFonts w:ascii="Times New Roman" w:hAnsi="Times New Roman" w:eastAsia="方正仿宋_GBK" w:cs="Times New Roman"/>
          <w:color w:val="000000"/>
          <w:sz w:val="32"/>
          <w:szCs w:val="32"/>
        </w:rPr>
        <w:t>级人才奖励政策，突出企业引才用才主体作用，加快引育一流科学家、领军人才、产业技术人才和高水平创新团队。加快建设重庆卓越工程师学院，探索开展新工科教育和改革人才培养模式，为企业发展和产业升级提供人才支撑。</w:t>
      </w:r>
      <w:r>
        <w:rPr>
          <w:rFonts w:hint="eastAsia" w:ascii="Times New Roman" w:hAnsi="Times New Roman" w:eastAsia="方正仿宋_GBK" w:cs="Times New Roman"/>
          <w:color w:val="000000"/>
          <w:sz w:val="32"/>
          <w:szCs w:val="32"/>
        </w:rPr>
        <w:t>支持将符合条件的高新技术产业项目、科技企业投资项目纳入市级重大项目。支持用好新型产业用地（M0）政策，为企业提供低成本发展空间。</w:t>
      </w:r>
    </w:p>
    <w:p>
      <w:pPr>
        <w:spacing w:line="580" w:lineRule="exact"/>
        <w:ind w:firstLine="640" w:firstLineChars="200"/>
      </w:pPr>
      <w:r>
        <w:rPr>
          <w:rFonts w:hint="eastAsia" w:ascii="方正楷体_GBK" w:hAnsi="方正楷体_GBK" w:eastAsia="方正楷体_GBK" w:cs="方正楷体_GBK"/>
          <w:color w:val="000000"/>
          <w:sz w:val="32"/>
          <w:szCs w:val="32"/>
        </w:rPr>
        <w:t>（四）注重监测评价。</w:t>
      </w:r>
      <w:r>
        <w:rPr>
          <w:rFonts w:hint="eastAsia" w:ascii="Times New Roman" w:hAnsi="Times New Roman" w:eastAsia="方正仿宋_GBK"/>
          <w:color w:val="000000"/>
          <w:sz w:val="32"/>
          <w:szCs w:val="32"/>
        </w:rPr>
        <w:t>各责任</w:t>
      </w:r>
      <w:r>
        <w:rPr>
          <w:rFonts w:ascii="Times New Roman" w:hAnsi="Times New Roman" w:eastAsia="方正仿宋_GBK" w:cs="Times New Roman"/>
          <w:color w:val="000000"/>
          <w:sz w:val="32"/>
          <w:szCs w:val="32"/>
        </w:rPr>
        <w:t>单位</w:t>
      </w:r>
      <w:r>
        <w:rPr>
          <w:rFonts w:hint="eastAsia" w:ascii="Times New Roman" w:hAnsi="Times New Roman" w:eastAsia="方正仿宋_GBK" w:cs="Times New Roman"/>
          <w:color w:val="000000"/>
          <w:sz w:val="32"/>
          <w:szCs w:val="32"/>
        </w:rPr>
        <w:t>应</w:t>
      </w:r>
      <w:r>
        <w:rPr>
          <w:rFonts w:ascii="Times New Roman" w:hAnsi="Times New Roman" w:eastAsia="方正仿宋_GBK" w:cs="Times New Roman"/>
          <w:color w:val="000000"/>
          <w:sz w:val="32"/>
          <w:szCs w:val="32"/>
        </w:rPr>
        <w:t>明确阶段性</w:t>
      </w:r>
      <w:r>
        <w:rPr>
          <w:rFonts w:hint="eastAsia" w:ascii="Times New Roman" w:hAnsi="Times New Roman" w:eastAsia="方正仿宋_GBK" w:cs="Times New Roman"/>
          <w:color w:val="000000"/>
          <w:sz w:val="32"/>
          <w:szCs w:val="32"/>
        </w:rPr>
        <w:t>培育目标</w:t>
      </w:r>
      <w:r>
        <w:rPr>
          <w:rFonts w:ascii="Times New Roman" w:hAnsi="Times New Roman" w:eastAsia="方正仿宋_GBK" w:cs="Times New Roman"/>
          <w:color w:val="000000"/>
          <w:sz w:val="32"/>
          <w:szCs w:val="32"/>
        </w:rPr>
        <w:t>，建立</w:t>
      </w:r>
      <w:r>
        <w:rPr>
          <w:rFonts w:hint="eastAsia" w:ascii="Times New Roman" w:hAnsi="Times New Roman" w:eastAsia="方正仿宋_GBK" w:cs="Times New Roman"/>
          <w:color w:val="000000"/>
          <w:sz w:val="32"/>
          <w:szCs w:val="32"/>
        </w:rPr>
        <w:t>统计监测制度，</w:t>
      </w:r>
      <w:r>
        <w:rPr>
          <w:rFonts w:ascii="Times New Roman" w:hAnsi="Times New Roman" w:eastAsia="方正仿宋_GBK" w:cs="Times New Roman"/>
          <w:color w:val="000000"/>
          <w:sz w:val="32"/>
          <w:szCs w:val="32"/>
        </w:rPr>
        <w:t>完善工作经费预算保障，确保各项任务有效落实。</w:t>
      </w:r>
      <w:r>
        <w:rPr>
          <w:rFonts w:hint="eastAsia" w:ascii="Times New Roman" w:hAnsi="Times New Roman" w:eastAsia="方正仿宋_GBK" w:cs="Times New Roman"/>
          <w:color w:val="000000"/>
          <w:sz w:val="32"/>
          <w:szCs w:val="32"/>
        </w:rPr>
        <w:t>用好</w:t>
      </w:r>
      <w:r>
        <w:rPr>
          <w:rFonts w:hint="eastAsia" w:ascii="Times New Roman" w:hAnsi="Times New Roman" w:eastAsia="方正仿宋_GBK"/>
          <w:color w:val="000000"/>
          <w:sz w:val="32"/>
          <w:szCs w:val="32"/>
        </w:rPr>
        <w:t>全市“四库一平台”信息系统，</w:t>
      </w:r>
      <w:r>
        <w:rPr>
          <w:rFonts w:hint="eastAsia" w:ascii="Times New Roman" w:hAnsi="Times New Roman" w:eastAsia="方正仿宋_GBK"/>
          <w:color w:val="000000"/>
          <w:sz w:val="32"/>
          <w:szCs w:val="36"/>
        </w:rPr>
        <w:t>开展</w:t>
      </w:r>
      <w:r>
        <w:rPr>
          <w:rFonts w:hint="eastAsia" w:ascii="Times New Roman" w:hAnsi="Times New Roman" w:eastAsia="方正仿宋_GBK" w:cs="Times New Roman"/>
          <w:color w:val="000000"/>
          <w:sz w:val="32"/>
          <w:szCs w:val="32"/>
        </w:rPr>
        <w:t>高新技术企业和科技型企业</w:t>
      </w:r>
      <w:r>
        <w:rPr>
          <w:rFonts w:hint="eastAsia" w:ascii="Times New Roman" w:hAnsi="Times New Roman" w:eastAsia="方正仿宋_GBK"/>
          <w:color w:val="000000"/>
          <w:sz w:val="32"/>
          <w:szCs w:val="36"/>
        </w:rPr>
        <w:t>数据收集、动态统计和培育指导</w:t>
      </w:r>
      <w:r>
        <w:rPr>
          <w:rFonts w:ascii="Times New Roman" w:hAnsi="Times New Roman" w:eastAsia="方正仿宋_GBK"/>
          <w:color w:val="000000"/>
          <w:sz w:val="32"/>
          <w:szCs w:val="32"/>
        </w:rPr>
        <w:t>。</w:t>
      </w:r>
      <w:r>
        <w:rPr>
          <w:rFonts w:ascii="Times New Roman" w:hAnsi="Times New Roman" w:eastAsia="方正仿宋_GBK" w:cs="Times New Roman"/>
          <w:color w:val="000000"/>
          <w:sz w:val="32"/>
          <w:szCs w:val="32"/>
        </w:rPr>
        <w:t>建立完善容错纠错工作机制，鼓励大胆开展改革创新探索。加强宣传报道工作力度，推动形成全社会关心、支持科技企业发展的良好氛围。</w:t>
      </w:r>
    </w:p>
    <w:p>
      <w:pPr>
        <w:spacing w:line="580" w:lineRule="exact"/>
        <w:ind w:firstLine="640" w:firstLineChars="200"/>
        <w:rPr>
          <w:rFonts w:ascii="Times New Roman" w:hAnsi="Times New Roman" w:eastAsia="方正仿宋_GBK" w:cs="Times New Roman"/>
          <w:color w:val="000000"/>
          <w:sz w:val="32"/>
          <w:szCs w:val="32"/>
        </w:rPr>
      </w:pPr>
    </w:p>
    <w:p>
      <w:pPr>
        <w:spacing w:line="580" w:lineRule="exact"/>
        <w:ind w:firstLine="640" w:firstLineChars="200"/>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rPr>
        <w:t>附件：1.高企科企目标任务表</w:t>
      </w:r>
    </w:p>
    <w:p>
      <w:pPr>
        <w:spacing w:line="580" w:lineRule="exact"/>
        <w:jc w:val="left"/>
        <w:rPr>
          <w:rFonts w:ascii="Times New Roman" w:hAnsi="Times New Roman" w:eastAsia="方正黑体_GBK" w:cs="Times New Roman"/>
          <w:color w:val="000000"/>
          <w:sz w:val="32"/>
          <w:szCs w:val="32"/>
        </w:rPr>
      </w:pPr>
      <w:bookmarkStart w:id="0" w:name="_GoBack"/>
      <w:bookmarkEnd w:id="0"/>
      <w:r>
        <w:rPr>
          <w:rFonts w:ascii="Times New Roman" w:hAnsi="Times New Roman" w:eastAsia="方正黑体_GBK" w:cs="Times New Roman"/>
          <w:color w:val="000000"/>
          <w:sz w:val="32"/>
          <w:szCs w:val="32"/>
        </w:rPr>
        <w:br w:type="page"/>
      </w:r>
    </w:p>
    <w:p>
      <w:pPr>
        <w:spacing w:line="580" w:lineRule="exact"/>
        <w:jc w:val="left"/>
        <w:rPr>
          <w:rFonts w:ascii="Times New Roman" w:hAnsi="Times New Roman" w:eastAsia="方正黑体_GBK" w:cs="Times New Roman"/>
          <w:color w:val="000000"/>
          <w:sz w:val="32"/>
          <w:szCs w:val="32"/>
        </w:rPr>
      </w:pPr>
      <w:r>
        <w:rPr>
          <w:rFonts w:ascii="Times New Roman" w:hAnsi="Times New Roman" w:eastAsia="方正黑体_GBK" w:cs="Times New Roman"/>
          <w:color w:val="000000"/>
          <w:sz w:val="32"/>
          <w:szCs w:val="32"/>
        </w:rPr>
        <w:t>附件1</w:t>
      </w:r>
    </w:p>
    <w:p>
      <w:pPr>
        <w:spacing w:line="580" w:lineRule="exact"/>
        <w:jc w:val="center"/>
        <w:rPr>
          <w:rFonts w:ascii="方正小标宋_GBK" w:hAnsi="Times New Roman" w:eastAsia="方正小标宋_GBK" w:cs="Times New Roman"/>
          <w:color w:val="000000"/>
          <w:sz w:val="36"/>
          <w:szCs w:val="36"/>
        </w:rPr>
      </w:pPr>
    </w:p>
    <w:p>
      <w:pPr>
        <w:spacing w:line="580" w:lineRule="exact"/>
        <w:jc w:val="center"/>
        <w:rPr>
          <w:rFonts w:ascii="方正小标宋_GBK" w:hAnsi="Times New Roman" w:eastAsia="方正小标宋_GBK" w:cs="Times New Roman"/>
          <w:color w:val="000000"/>
          <w:sz w:val="36"/>
          <w:szCs w:val="36"/>
        </w:rPr>
      </w:pPr>
      <w:r>
        <w:rPr>
          <w:rFonts w:hint="eastAsia" w:ascii="方正小标宋_GBK" w:hAnsi="Times New Roman" w:eastAsia="方正小标宋_GBK" w:cs="Times New Roman"/>
          <w:color w:val="000000"/>
          <w:sz w:val="36"/>
          <w:szCs w:val="36"/>
        </w:rPr>
        <w:t>高企科企目标任务表</w:t>
      </w:r>
    </w:p>
    <w:p>
      <w:pPr>
        <w:spacing w:line="580" w:lineRule="exact"/>
        <w:jc w:val="right"/>
        <w:rPr>
          <w:rFonts w:ascii="方正仿宋_GBK" w:hAnsi="Times New Roman" w:eastAsia="方正仿宋_GBK" w:cs="Times New Roman"/>
          <w:color w:val="000000"/>
          <w:sz w:val="28"/>
          <w:szCs w:val="28"/>
        </w:rPr>
      </w:pPr>
      <w:r>
        <w:rPr>
          <w:rFonts w:hint="eastAsia" w:ascii="方正仿宋_GBK" w:hAnsi="Times New Roman" w:eastAsia="方正仿宋_GBK" w:cs="Times New Roman"/>
          <w:color w:val="000000"/>
          <w:sz w:val="28"/>
          <w:szCs w:val="28"/>
        </w:rPr>
        <w:t>(单位:家)</w:t>
      </w:r>
    </w:p>
    <w:tbl>
      <w:tblPr>
        <w:tblStyle w:val="10"/>
        <w:tblW w:w="8800" w:type="dxa"/>
        <w:tblInd w:w="1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0"/>
        <w:gridCol w:w="1350"/>
        <w:gridCol w:w="1213"/>
        <w:gridCol w:w="1125"/>
        <w:gridCol w:w="1200"/>
        <w:gridCol w:w="1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0" w:type="dxa"/>
            <w:vAlign w:val="center"/>
          </w:tcPr>
          <w:p>
            <w:pPr>
              <w:spacing w:line="500" w:lineRule="exact"/>
              <w:jc w:val="center"/>
              <w:rPr>
                <w:rFonts w:ascii="Times New Roman" w:hAnsi="Times New Roman" w:eastAsia="方正黑体_GBK" w:cs="Times New Roman"/>
                <w:color w:val="000000"/>
                <w:sz w:val="28"/>
                <w:szCs w:val="28"/>
              </w:rPr>
            </w:pPr>
            <w:r>
              <w:rPr>
                <w:rFonts w:ascii="Times New Roman" w:hAnsi="Times New Roman" w:eastAsia="方正黑体_GBK" w:cs="Times New Roman"/>
                <w:color w:val="000000"/>
                <w:sz w:val="28"/>
                <w:szCs w:val="28"/>
              </w:rPr>
              <w:t>目标任务</w:t>
            </w:r>
          </w:p>
        </w:tc>
        <w:tc>
          <w:tcPr>
            <w:tcW w:w="1350" w:type="dxa"/>
            <w:vAlign w:val="center"/>
          </w:tcPr>
          <w:p>
            <w:pPr>
              <w:spacing w:line="500" w:lineRule="exact"/>
              <w:jc w:val="center"/>
              <w:rPr>
                <w:rFonts w:ascii="Times New Roman" w:hAnsi="Times New Roman" w:eastAsia="方正黑体_GBK" w:cs="Times New Roman"/>
                <w:color w:val="000000"/>
                <w:sz w:val="28"/>
                <w:szCs w:val="28"/>
              </w:rPr>
            </w:pPr>
          </w:p>
          <w:p>
            <w:pPr>
              <w:spacing w:line="500" w:lineRule="exact"/>
              <w:jc w:val="center"/>
              <w:rPr>
                <w:rFonts w:ascii="Times New Roman" w:hAnsi="Times New Roman" w:eastAsia="方正黑体_GBK" w:cs="Times New Roman"/>
                <w:color w:val="000000"/>
                <w:sz w:val="28"/>
                <w:szCs w:val="28"/>
              </w:rPr>
            </w:pPr>
            <w:r>
              <w:rPr>
                <w:rFonts w:hint="eastAsia" w:ascii="Times New Roman" w:hAnsi="Times New Roman" w:eastAsia="方正黑体_GBK" w:cs="Times New Roman"/>
                <w:color w:val="000000"/>
                <w:sz w:val="28"/>
                <w:szCs w:val="28"/>
              </w:rPr>
              <w:t>2023年</w:t>
            </w:r>
          </w:p>
          <w:p>
            <w:pPr>
              <w:spacing w:line="500" w:lineRule="exact"/>
              <w:jc w:val="center"/>
              <w:rPr>
                <w:rFonts w:ascii="Times New Roman" w:hAnsi="Times New Roman" w:eastAsia="方正黑体_GBK" w:cs="Times New Roman"/>
                <w:color w:val="000000"/>
                <w:sz w:val="28"/>
                <w:szCs w:val="28"/>
              </w:rPr>
            </w:pPr>
          </w:p>
        </w:tc>
        <w:tc>
          <w:tcPr>
            <w:tcW w:w="1213" w:type="dxa"/>
            <w:vAlign w:val="center"/>
          </w:tcPr>
          <w:p>
            <w:pPr>
              <w:spacing w:line="500" w:lineRule="exact"/>
              <w:jc w:val="center"/>
              <w:rPr>
                <w:rFonts w:ascii="Times New Roman" w:hAnsi="Times New Roman" w:eastAsia="方正黑体_GBK" w:cs="Times New Roman"/>
                <w:color w:val="000000"/>
                <w:sz w:val="28"/>
                <w:szCs w:val="28"/>
              </w:rPr>
            </w:pPr>
          </w:p>
          <w:p>
            <w:pPr>
              <w:spacing w:line="500" w:lineRule="exact"/>
              <w:jc w:val="center"/>
              <w:rPr>
                <w:rFonts w:ascii="Times New Roman" w:hAnsi="Times New Roman" w:eastAsia="方正黑体_GBK" w:cs="Times New Roman"/>
                <w:color w:val="000000"/>
                <w:sz w:val="28"/>
                <w:szCs w:val="28"/>
              </w:rPr>
            </w:pPr>
            <w:r>
              <w:rPr>
                <w:rFonts w:hint="eastAsia" w:ascii="Times New Roman" w:hAnsi="Times New Roman" w:eastAsia="方正黑体_GBK" w:cs="Times New Roman"/>
                <w:color w:val="000000"/>
                <w:sz w:val="28"/>
                <w:szCs w:val="28"/>
              </w:rPr>
              <w:t>2024年</w:t>
            </w:r>
          </w:p>
          <w:p>
            <w:pPr>
              <w:spacing w:line="500" w:lineRule="exact"/>
              <w:jc w:val="center"/>
              <w:rPr>
                <w:rFonts w:ascii="Times New Roman" w:hAnsi="Times New Roman" w:eastAsia="方正黑体_GBK" w:cs="Times New Roman"/>
                <w:color w:val="000000"/>
                <w:sz w:val="28"/>
                <w:szCs w:val="28"/>
              </w:rPr>
            </w:pPr>
          </w:p>
        </w:tc>
        <w:tc>
          <w:tcPr>
            <w:tcW w:w="1125" w:type="dxa"/>
            <w:vAlign w:val="center"/>
          </w:tcPr>
          <w:p>
            <w:pPr>
              <w:spacing w:line="500" w:lineRule="exact"/>
              <w:jc w:val="center"/>
              <w:rPr>
                <w:rFonts w:ascii="Times New Roman" w:hAnsi="Times New Roman" w:eastAsia="方正黑体_GBK" w:cs="Times New Roman"/>
                <w:color w:val="000000"/>
                <w:sz w:val="28"/>
                <w:szCs w:val="28"/>
              </w:rPr>
            </w:pPr>
          </w:p>
          <w:p>
            <w:pPr>
              <w:spacing w:line="500" w:lineRule="exact"/>
              <w:jc w:val="center"/>
              <w:rPr>
                <w:rFonts w:ascii="Times New Roman" w:hAnsi="Times New Roman" w:eastAsia="方正黑体_GBK" w:cs="Times New Roman"/>
                <w:color w:val="000000"/>
                <w:sz w:val="28"/>
                <w:szCs w:val="28"/>
              </w:rPr>
            </w:pPr>
            <w:r>
              <w:rPr>
                <w:rFonts w:ascii="Times New Roman" w:hAnsi="Times New Roman" w:eastAsia="方正黑体_GBK" w:cs="Times New Roman"/>
                <w:color w:val="000000"/>
                <w:sz w:val="28"/>
                <w:szCs w:val="28"/>
              </w:rPr>
              <w:t>2025年</w:t>
            </w:r>
          </w:p>
          <w:p>
            <w:pPr>
              <w:spacing w:line="500" w:lineRule="exact"/>
              <w:jc w:val="center"/>
              <w:rPr>
                <w:rFonts w:ascii="Times New Roman" w:hAnsi="Times New Roman" w:eastAsia="方正黑体_GBK" w:cs="Times New Roman"/>
                <w:color w:val="000000"/>
                <w:sz w:val="28"/>
                <w:szCs w:val="28"/>
              </w:rPr>
            </w:pPr>
          </w:p>
        </w:tc>
        <w:tc>
          <w:tcPr>
            <w:tcW w:w="1200" w:type="dxa"/>
            <w:vAlign w:val="center"/>
          </w:tcPr>
          <w:p>
            <w:pPr>
              <w:spacing w:line="500" w:lineRule="exact"/>
              <w:jc w:val="center"/>
              <w:rPr>
                <w:rFonts w:ascii="Times New Roman" w:hAnsi="Times New Roman" w:eastAsia="方正黑体_GBK" w:cs="Times New Roman"/>
                <w:color w:val="000000"/>
                <w:sz w:val="28"/>
                <w:szCs w:val="28"/>
              </w:rPr>
            </w:pPr>
          </w:p>
          <w:p>
            <w:pPr>
              <w:spacing w:line="500" w:lineRule="exact"/>
              <w:jc w:val="center"/>
              <w:rPr>
                <w:rFonts w:ascii="Times New Roman" w:hAnsi="Times New Roman" w:eastAsia="方正黑体_GBK" w:cs="Times New Roman"/>
                <w:color w:val="000000"/>
                <w:sz w:val="28"/>
                <w:szCs w:val="28"/>
              </w:rPr>
            </w:pPr>
            <w:r>
              <w:rPr>
                <w:rFonts w:hint="eastAsia" w:ascii="Times New Roman" w:hAnsi="Times New Roman" w:eastAsia="方正黑体_GBK" w:cs="Times New Roman"/>
                <w:color w:val="000000"/>
                <w:sz w:val="28"/>
                <w:szCs w:val="28"/>
              </w:rPr>
              <w:t>2026年</w:t>
            </w:r>
          </w:p>
          <w:p>
            <w:pPr>
              <w:spacing w:line="500" w:lineRule="exact"/>
              <w:jc w:val="center"/>
              <w:rPr>
                <w:rFonts w:ascii="Times New Roman" w:hAnsi="Times New Roman" w:eastAsia="方正黑体_GBK" w:cs="Times New Roman"/>
                <w:color w:val="000000"/>
                <w:sz w:val="28"/>
                <w:szCs w:val="28"/>
              </w:rPr>
            </w:pPr>
          </w:p>
        </w:tc>
        <w:tc>
          <w:tcPr>
            <w:tcW w:w="1362" w:type="dxa"/>
            <w:vAlign w:val="center"/>
          </w:tcPr>
          <w:p>
            <w:pPr>
              <w:spacing w:line="500" w:lineRule="exact"/>
              <w:jc w:val="center"/>
              <w:rPr>
                <w:rFonts w:ascii="Times New Roman" w:hAnsi="Times New Roman" w:eastAsia="方正黑体_GBK" w:cs="Times New Roman"/>
                <w:color w:val="000000"/>
                <w:sz w:val="28"/>
                <w:szCs w:val="28"/>
              </w:rPr>
            </w:pPr>
          </w:p>
          <w:p>
            <w:pPr>
              <w:spacing w:line="500" w:lineRule="exact"/>
              <w:jc w:val="center"/>
              <w:rPr>
                <w:rFonts w:ascii="Times New Roman" w:hAnsi="Times New Roman" w:eastAsia="方正黑体_GBK" w:cs="Times New Roman"/>
                <w:color w:val="000000"/>
                <w:sz w:val="28"/>
                <w:szCs w:val="28"/>
              </w:rPr>
            </w:pPr>
            <w:r>
              <w:rPr>
                <w:rFonts w:ascii="Times New Roman" w:hAnsi="Times New Roman" w:eastAsia="方正黑体_GBK" w:cs="Times New Roman"/>
                <w:color w:val="000000"/>
                <w:sz w:val="28"/>
                <w:szCs w:val="28"/>
              </w:rPr>
              <w:t>2027年</w:t>
            </w:r>
          </w:p>
          <w:p>
            <w:pPr>
              <w:spacing w:line="500" w:lineRule="exact"/>
              <w:jc w:val="center"/>
              <w:rPr>
                <w:rFonts w:ascii="Times New Roman" w:hAnsi="Times New Roman" w:eastAsia="方正黑体_GBK" w:cs="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0" w:type="dxa"/>
          </w:tcPr>
          <w:p>
            <w:pPr>
              <w:spacing w:line="580" w:lineRule="exact"/>
              <w:ind w:firstLine="280" w:firstLineChars="100"/>
              <w:jc w:val="left"/>
              <w:rPr>
                <w:rFonts w:ascii="方正仿宋_GBK" w:hAnsi="Times New Roman" w:eastAsia="方正仿宋_GBK" w:cs="Times New Roman"/>
                <w:color w:val="000000"/>
                <w:sz w:val="28"/>
                <w:szCs w:val="28"/>
              </w:rPr>
            </w:pPr>
            <w:r>
              <w:rPr>
                <w:rFonts w:hint="eastAsia" w:ascii="方正仿宋_GBK" w:hAnsi="Times New Roman" w:eastAsia="方正仿宋_GBK" w:cs="Times New Roman"/>
                <w:color w:val="000000"/>
                <w:sz w:val="28"/>
                <w:szCs w:val="28"/>
              </w:rPr>
              <w:t>高新技术企业</w:t>
            </w:r>
          </w:p>
        </w:tc>
        <w:tc>
          <w:tcPr>
            <w:tcW w:w="1350"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930</w:t>
            </w:r>
          </w:p>
        </w:tc>
        <w:tc>
          <w:tcPr>
            <w:tcW w:w="1213"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1140</w:t>
            </w:r>
          </w:p>
        </w:tc>
        <w:tc>
          <w:tcPr>
            <w:tcW w:w="1125" w:type="dxa"/>
          </w:tcPr>
          <w:p>
            <w:pPr>
              <w:spacing w:line="580" w:lineRule="exact"/>
              <w:jc w:val="center"/>
              <w:rPr>
                <w:rFonts w:ascii="Times New Roman" w:hAnsi="Times New Roman" w:eastAsia="方正仿宋_GBK" w:cs="Times New Roman"/>
                <w:color w:val="000000"/>
                <w:sz w:val="28"/>
                <w:szCs w:val="28"/>
              </w:rPr>
            </w:pPr>
            <w:r>
              <w:rPr>
                <w:rFonts w:ascii="Times New Roman" w:hAnsi="Times New Roman" w:eastAsia="方正仿宋_GBK" w:cs="Times New Roman"/>
                <w:color w:val="000000"/>
                <w:sz w:val="28"/>
                <w:szCs w:val="28"/>
              </w:rPr>
              <w:t>1350</w:t>
            </w:r>
          </w:p>
        </w:tc>
        <w:tc>
          <w:tcPr>
            <w:tcW w:w="1200"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1580</w:t>
            </w:r>
          </w:p>
        </w:tc>
        <w:tc>
          <w:tcPr>
            <w:tcW w:w="1362" w:type="dxa"/>
          </w:tcPr>
          <w:p>
            <w:pPr>
              <w:spacing w:line="580" w:lineRule="exact"/>
              <w:jc w:val="center"/>
              <w:rPr>
                <w:rFonts w:ascii="Times New Roman" w:hAnsi="Times New Roman" w:eastAsia="方正仿宋_GBK" w:cs="Times New Roman"/>
                <w:color w:val="000000"/>
                <w:sz w:val="28"/>
                <w:szCs w:val="28"/>
              </w:rPr>
            </w:pPr>
            <w:r>
              <w:rPr>
                <w:rFonts w:ascii="Times New Roman" w:hAnsi="Times New Roman" w:eastAsia="方正仿宋_GBK" w:cs="Times New Roman"/>
                <w:color w:val="000000"/>
                <w:sz w:val="28"/>
                <w:szCs w:val="28"/>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0" w:type="dxa"/>
          </w:tcPr>
          <w:p>
            <w:pPr>
              <w:spacing w:line="580" w:lineRule="exact"/>
              <w:ind w:firstLine="280" w:firstLineChars="100"/>
              <w:jc w:val="left"/>
              <w:rPr>
                <w:rFonts w:ascii="方正仿宋_GBK" w:hAnsi="Times New Roman" w:eastAsia="方正仿宋_GBK" w:cs="Times New Roman"/>
                <w:color w:val="000000"/>
                <w:sz w:val="28"/>
                <w:szCs w:val="28"/>
              </w:rPr>
            </w:pPr>
            <w:r>
              <w:rPr>
                <w:rFonts w:hint="eastAsia" w:ascii="方正仿宋_GBK" w:hAnsi="Times New Roman" w:eastAsia="方正仿宋_GBK" w:cs="Times New Roman"/>
                <w:color w:val="000000"/>
                <w:sz w:val="28"/>
                <w:szCs w:val="28"/>
              </w:rPr>
              <w:t>科技型企业</w:t>
            </w:r>
          </w:p>
        </w:tc>
        <w:tc>
          <w:tcPr>
            <w:tcW w:w="1350"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5000</w:t>
            </w:r>
          </w:p>
        </w:tc>
        <w:tc>
          <w:tcPr>
            <w:tcW w:w="1213"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6000</w:t>
            </w:r>
          </w:p>
        </w:tc>
        <w:tc>
          <w:tcPr>
            <w:tcW w:w="1125"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7000</w:t>
            </w:r>
          </w:p>
        </w:tc>
        <w:tc>
          <w:tcPr>
            <w:tcW w:w="1200"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7500</w:t>
            </w:r>
          </w:p>
        </w:tc>
        <w:tc>
          <w:tcPr>
            <w:tcW w:w="1362" w:type="dxa"/>
          </w:tcPr>
          <w:p>
            <w:pPr>
              <w:spacing w:line="580" w:lineRule="exact"/>
              <w:jc w:val="center"/>
              <w:rPr>
                <w:rFonts w:ascii="Times New Roman" w:hAnsi="Times New Roman" w:eastAsia="方正仿宋_GBK" w:cs="Times New Roman"/>
                <w:color w:val="000000"/>
                <w:sz w:val="28"/>
                <w:szCs w:val="28"/>
              </w:rPr>
            </w:pPr>
            <w:r>
              <w:rPr>
                <w:rFonts w:hint="eastAsia" w:ascii="Times New Roman" w:hAnsi="Times New Roman" w:eastAsia="方正仿宋_GBK" w:cs="Times New Roman"/>
                <w:color w:val="000000"/>
                <w:sz w:val="28"/>
                <w:szCs w:val="28"/>
              </w:rPr>
              <w:t>8000</w:t>
            </w:r>
          </w:p>
        </w:tc>
      </w:tr>
    </w:tbl>
    <w:p>
      <w:pPr>
        <w:spacing w:line="580" w:lineRule="exact"/>
        <w:rPr>
          <w:rFonts w:ascii="方正小标宋_GBK" w:hAnsi="Times New Roman" w:eastAsia="方正小标宋_GBK" w:cs="Times New Roman"/>
          <w:color w:val="000000"/>
          <w:sz w:val="36"/>
          <w:szCs w:val="36"/>
        </w:rPr>
      </w:pPr>
    </w:p>
    <w:sectPr>
      <w:footerReference r:id="rId3" w:type="default"/>
      <w:footerReference r:id="rId4" w:type="even"/>
      <w:pgSz w:w="11906" w:h="16838"/>
      <w:pgMar w:top="2098" w:right="1474" w:bottom="1928" w:left="1588" w:header="851" w:footer="1418"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方正中倩_GBK"/>
    <w:panose1 w:val="00000000000000000000"/>
    <w:charset w:val="86"/>
    <w:family w:val="auto"/>
    <w:pitch w:val="default"/>
    <w:sig w:usb0="00000000" w:usb1="00000000" w:usb2="00000016" w:usb3="00000000" w:csb0="0004000F" w:csb1="00000000"/>
  </w:font>
  <w:font w:name="方正中倩_GBK">
    <w:panose1 w:val="03000509000000000000"/>
    <w:charset w:val="86"/>
    <w:family w:val="auto"/>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10" w:usb3="00000000" w:csb0="0004009F" w:csb1="00000000"/>
  </w:font>
  <w:font w:name="汉仪中宋简">
    <w:panose1 w:val="02010600000101010101"/>
    <w:charset w:val="86"/>
    <w:family w:val="auto"/>
    <w:pitch w:val="default"/>
    <w:sig w:usb0="00000001" w:usb1="080E0800" w:usb2="00000002" w:usb3="00000000" w:csb0="00040000" w:csb1="00000000"/>
  </w:font>
  <w:font w:name="新宋体">
    <w:altName w:val="方正书宋_GBK"/>
    <w:panose1 w:val="02010609030101010101"/>
    <w:charset w:val="86"/>
    <w:family w:val="modern"/>
    <w:pitch w:val="default"/>
    <w:sig w:usb0="00000000" w:usb1="00000000" w:usb2="00000016" w:usb3="00000000" w:csb0="00040001" w:csb1="00000000"/>
  </w:font>
  <w:font w:name="Verdana">
    <w:altName w:val="DejaVu Sans"/>
    <w:panose1 w:val="020B0604030504040204"/>
    <w:charset w:val="00"/>
    <w:family w:val="swiss"/>
    <w:pitch w:val="default"/>
    <w:sig w:usb0="00000000" w:usb1="00000000" w:usb2="00000010"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FZFSK--GBK1-0">
    <w:altName w:val="Times New Roman"/>
    <w:panose1 w:val="00000000000000000000"/>
    <w:charset w:val="00"/>
    <w:family w:val="roman"/>
    <w:pitch w:val="default"/>
    <w:sig w:usb0="00000000" w:usb1="00000000" w:usb2="00000010" w:usb3="00000000" w:csb0="00040000" w:csb1="00000000"/>
  </w:font>
  <w:font w:name="仿宋_GB2312">
    <w:altName w:val="方正仿宋_GBK"/>
    <w:panose1 w:val="00000000000000000000"/>
    <w:charset w:val="00"/>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ind w:right="315" w:rightChars="150"/>
      <w:jc w:val="right"/>
      <w:rPr>
        <w:rFonts w:ascii="Times New Roman" w:hAnsi="Times New Roman" w:cs="Times New Roman"/>
        <w:sz w:val="28"/>
        <w:szCs w:val="28"/>
      </w:rPr>
    </w:pPr>
    <w:r>
      <w:rPr>
        <w:sz w:val="28"/>
      </w:rP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5"/>
                            <w:wordWrap w:val="0"/>
                            <w:ind w:right="315" w:rightChars="150"/>
                            <w:jc w:val="right"/>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7</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wps:txbx>
                    <wps:bodyPr vert="horz" wrap="none" lIns="0" tIns="0" rIns="0" bIns="0" anchor="t">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ACWJ6zyQEAAJIDAAAOAAAAZHJz&#10;L2Uyb0RvYy54bWytU82O0zAQviPxDpbvNGmFoERNV0jVIiQEKy08gOs4jSX/acZtUh4A3oATF+48&#10;V5+DsZN00XLZAxdnxmN/832fJ5ubwRp2UoDau5ovFyVnyknfaHeo+ZfPty/WnGEUrhHGO1Xzs0J+&#10;s33+bNOHSq18502jgBGIw6oPNe9iDFVRoOyUFbjwQTkqth6siJTCoWhA9IRuTbEqy1dF76EJ4KVC&#10;pN3dWOQTIjwF0Letlmrn5dEqF0dUUEZEkoSdDsi3mW3bKhk/tS2qyEzNSWnMKzWheJ/WYrsR1QFE&#10;6LScKIinUHikyQrtqOkVaieiYEfQ/0BZLcGjb+NCeluMQrIjpGJZPvLmvhNBZS1kNYar6fj/YOXH&#10;0x0w3dT8ZfnmNWdOWHrzy4/vl5+/L7++sWVyqA9Y0cH7cAdThhQmuUMLNn1JCBuyq+erq2qITNLm&#10;cr1ar0syXFJtTgineLgeAOM75S1LQc2Bni27KU4fMI5H5yOpm3Fpdf5WGzNW006RaI7EUhSH/TCx&#10;3fvmTCpp6Am88/CVs56evOaOJpwz896Ro2k65gDmYD8Hwkm6WPORF4a3x0jtM7fUbOwwcaCnyuqm&#10;sUqz8HeeTz38St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uXW5UtAAAAAFAQAADwAAAAAAAAAB&#10;ACAAAAA4AAAAZHJzL2Rvd25yZXYueG1sUEsBAhQAFAAAAAgAh07iQAJYnrPJAQAAkgMAAA4AAAAA&#10;AAAAAQAgAAAANQEAAGRycy9lMm9Eb2MueG1sUEsFBgAAAAAGAAYAWQEAAHAFAAAAAA==&#10;">
              <v:fill on="f" focussize="0,0"/>
              <v:stroke on="f"/>
              <v:imagedata o:title=""/>
              <o:lock v:ext="edit" aspectratio="f"/>
              <v:textbox inset="0mm,0mm,0mm,0mm" style="mso-fit-shape-to-text:t;">
                <w:txbxContent>
                  <w:p>
                    <w:pPr>
                      <w:pStyle w:val="5"/>
                      <w:wordWrap w:val="0"/>
                      <w:ind w:right="315" w:rightChars="150"/>
                      <w:jc w:val="right"/>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7</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368" w:leftChars="175"/>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95E78E0"/>
    <w:multiLevelType w:val="singleLevel"/>
    <w:tmpl w:val="695E78E0"/>
    <w:lvl w:ilvl="0" w:tentative="0">
      <w:start w:val="1"/>
      <w:numFmt w:val="decimal"/>
      <w:pStyle w:val="2"/>
      <w:lvlText w:val="%1."/>
      <w:lvlJc w:val="left"/>
      <w:pPr>
        <w:tabs>
          <w:tab w:val="left"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5YjczMzY2YWY4ZTJmMDJlMDNmZDFiMGVlYmZhM2IifQ=="/>
  </w:docVars>
  <w:rsids>
    <w:rsidRoot w:val="003D5AB4"/>
    <w:rsid w:val="00164A0F"/>
    <w:rsid w:val="003D5AB4"/>
    <w:rsid w:val="00785D0A"/>
    <w:rsid w:val="008A2FD3"/>
    <w:rsid w:val="008D455F"/>
    <w:rsid w:val="0095560F"/>
    <w:rsid w:val="00C02BD6"/>
    <w:rsid w:val="00CE7495"/>
    <w:rsid w:val="00DE135F"/>
    <w:rsid w:val="00E92588"/>
    <w:rsid w:val="00F92A8C"/>
    <w:rsid w:val="058D14E6"/>
    <w:rsid w:val="2F5FB8D1"/>
    <w:rsid w:val="3338263B"/>
    <w:rsid w:val="378A7344"/>
    <w:rsid w:val="3CFF62AE"/>
    <w:rsid w:val="4E316B2A"/>
    <w:rsid w:val="6EFEB39E"/>
    <w:rsid w:val="7FFD8C9D"/>
    <w:rsid w:val="EFEE7F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宋体"/>
      <w:kern w:val="2"/>
      <w:sz w:val="21"/>
      <w:szCs w:val="22"/>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List Number"/>
    <w:basedOn w:val="1"/>
    <w:qFormat/>
    <w:uiPriority w:val="0"/>
    <w:pPr>
      <w:numPr>
        <w:ilvl w:val="0"/>
        <w:numId w:val="1"/>
      </w:numPr>
    </w:pPr>
  </w:style>
  <w:style w:type="paragraph" w:styleId="3">
    <w:name w:val="Body Text"/>
    <w:qFormat/>
    <w:uiPriority w:val="0"/>
    <w:pPr>
      <w:spacing w:after="200" w:line="560" w:lineRule="exact"/>
      <w:jc w:val="center"/>
    </w:pPr>
    <w:rPr>
      <w:rFonts w:ascii="华文中宋" w:hAnsi="新宋体" w:eastAsia="华文中宋" w:cs="Times New Roman"/>
      <w:b/>
      <w:sz w:val="40"/>
      <w:szCs w:val="40"/>
      <w:lang w:val="en-US" w:eastAsia="zh-CN" w:bidi="ar-SA"/>
    </w:rPr>
  </w:style>
  <w:style w:type="paragraph" w:styleId="4">
    <w:name w:val="Balloon Text"/>
    <w:basedOn w:val="1"/>
    <w:link w:val="16"/>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szCs w:val="18"/>
    </w:rPr>
  </w:style>
  <w:style w:type="paragraph" w:styleId="6">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paragraph" w:styleId="8">
    <w:name w:val="Normal (Web)"/>
    <w:basedOn w:val="1"/>
    <w:qFormat/>
    <w:uiPriority w:val="0"/>
    <w:pPr>
      <w:widowControl/>
      <w:spacing w:beforeAutospacing="1" w:after="200" w:afterAutospacing="1" w:line="251" w:lineRule="auto"/>
      <w:jc w:val="left"/>
    </w:pPr>
    <w:rPr>
      <w:rFonts w:ascii="Times New Roman" w:hAnsi="Times New Roman" w:eastAsia="宋体" w:cs="Times New Roman"/>
      <w:kern w:val="0"/>
      <w:sz w:val="24"/>
    </w:rPr>
  </w:style>
  <w:style w:type="table" w:styleId="10">
    <w:name w:val="Table Grid"/>
    <w:basedOn w:val="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Emphasis"/>
    <w:basedOn w:val="11"/>
    <w:qFormat/>
    <w:uiPriority w:val="20"/>
    <w:rPr>
      <w:i/>
    </w:rPr>
  </w:style>
  <w:style w:type="character" w:customStyle="1" w:styleId="13">
    <w:name w:val="页脚 Char"/>
    <w:basedOn w:val="11"/>
    <w:link w:val="5"/>
    <w:qFormat/>
    <w:uiPriority w:val="99"/>
    <w:rPr>
      <w:sz w:val="18"/>
      <w:szCs w:val="18"/>
    </w:rPr>
  </w:style>
  <w:style w:type="paragraph" w:customStyle="1" w:styleId="14">
    <w:name w:val="Char Char Char Char"/>
    <w:basedOn w:val="1"/>
    <w:qFormat/>
    <w:uiPriority w:val="0"/>
    <w:pPr>
      <w:widowControl/>
      <w:spacing w:after="200" w:line="251" w:lineRule="auto"/>
      <w:jc w:val="left"/>
    </w:pPr>
    <w:rPr>
      <w:rFonts w:ascii="Verdana" w:hAnsi="Verdana" w:eastAsia="Times New Roman" w:cs="Times New Roman"/>
      <w:kern w:val="0"/>
      <w:sz w:val="16"/>
      <w:szCs w:val="20"/>
      <w:lang w:eastAsia="en-US"/>
    </w:rPr>
  </w:style>
  <w:style w:type="paragraph" w:styleId="15">
    <w:name w:val="List Paragraph"/>
    <w:basedOn w:val="1"/>
    <w:qFormat/>
    <w:uiPriority w:val="34"/>
    <w:pPr>
      <w:ind w:firstLine="420" w:firstLineChars="200"/>
    </w:pPr>
  </w:style>
  <w:style w:type="character" w:customStyle="1" w:styleId="16">
    <w:name w:val="批注框文本 Char"/>
    <w:basedOn w:val="11"/>
    <w:link w:val="4"/>
    <w:qFormat/>
    <w:uiPriority w:val="99"/>
    <w:rPr>
      <w:sz w:val="18"/>
      <w:szCs w:val="18"/>
    </w:rPr>
  </w:style>
  <w:style w:type="paragraph" w:customStyle="1" w:styleId="17">
    <w:name w:val="Char Char Char Char1"/>
    <w:basedOn w:val="1"/>
    <w:qFormat/>
    <w:uiPriority w:val="0"/>
    <w:pPr>
      <w:widowControl/>
      <w:spacing w:after="200" w:line="251" w:lineRule="auto"/>
      <w:jc w:val="left"/>
    </w:pPr>
    <w:rPr>
      <w:rFonts w:ascii="Verdana" w:hAnsi="Verdana" w:eastAsia="Times New Roman" w:cs="Times New Roman"/>
      <w:kern w:val="0"/>
      <w:sz w:val="16"/>
      <w:szCs w:val="20"/>
      <w:lang w:eastAsia="en-U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678</Words>
  <Characters>3868</Characters>
  <Lines>32</Lines>
  <Paragraphs>9</Paragraphs>
  <TotalTime>1</TotalTime>
  <ScaleCrop>false</ScaleCrop>
  <LinksUpToDate>false</LinksUpToDate>
  <CharactersWithSpaces>4537</CharactersWithSpaces>
  <Application>WPS Office_11.8.2.1121_F1E327BC-269C-435d-A152-05C5408002CA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2023-06-14T09:04:00Z</dcterms:created>
  <dc:creator>uos</dc:creator>
  <cp:lastModifiedBy>uos</cp:lastModifiedBy>
  <cp:lastPrinted>2023-05-24T02:18:00Z</cp:lastPrinted>
  <dcterms:modified xsi:type="dcterms:W3CDTF">2024-10-11T09:59:47Z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2052-11.8.2.1121</vt:lpwstr>
  </property>
  <property fmtid="{D5CDD505-2E9C-101B-9397-08002B2CF9AE}" pid="3" name="ICV">
    <vt:lpwstr>738e4aa316d949408a0a1bbfd8b7b14c_23</vt:lpwstr>
  </property>
</Properties>
</file>