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color w:val="000000" w:themeColor="text1"/>
          <w:sz w:val="44"/>
          <w:szCs w:val="44"/>
          <w14:textFill>
            <w14:solidFill>
              <w14:schemeClr w14:val="tx1"/>
            </w14:solidFill>
          </w14:textFill>
        </w:rPr>
      </w:pPr>
      <w:r>
        <w:rPr>
          <w:rFonts w:hint="eastAsia" w:ascii="方正小标宋_GBK" w:hAnsi="方正小标宋_GBK" w:eastAsia="方正小标宋_GBK" w:cs="方正小标宋_GBK"/>
          <w:color w:val="000000" w:themeColor="text1"/>
          <w:sz w:val="44"/>
          <w:szCs w:val="44"/>
          <w14:textFill>
            <w14:solidFill>
              <w14:schemeClr w14:val="tx1"/>
            </w14:solidFill>
          </w14:textFill>
        </w:rPr>
        <w:t>重庆两江新区202</w:t>
      </w:r>
      <w:r>
        <w:rPr>
          <w:rFonts w:hint="eastAsia" w:ascii="方正小标宋_GBK" w:hAnsi="方正小标宋_GBK" w:eastAsia="方正小标宋_GBK" w:cs="方正小标宋_GBK"/>
          <w:color w:val="000000" w:themeColor="text1"/>
          <w:sz w:val="44"/>
          <w:szCs w:val="44"/>
          <w:lang w:val="en-US" w:eastAsia="zh-CN"/>
          <w14:textFill>
            <w14:solidFill>
              <w14:schemeClr w14:val="tx1"/>
            </w14:solidFill>
          </w14:textFill>
        </w:rPr>
        <w:t>3</w:t>
      </w:r>
      <w:r>
        <w:rPr>
          <w:rFonts w:hint="eastAsia" w:ascii="方正小标宋_GBK" w:hAnsi="方正小标宋_GBK" w:eastAsia="方正小标宋_GBK" w:cs="方正小标宋_GBK"/>
          <w:color w:val="000000" w:themeColor="text1"/>
          <w:sz w:val="44"/>
          <w:szCs w:val="44"/>
          <w14:textFill>
            <w14:solidFill>
              <w14:schemeClr w14:val="tx1"/>
            </w14:solidFill>
          </w14:textFill>
        </w:rPr>
        <w:t>年政府信息公开工作</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color w:val="000000" w:themeColor="text1"/>
          <w:sz w:val="44"/>
          <w:szCs w:val="44"/>
          <w14:textFill>
            <w14:solidFill>
              <w14:schemeClr w14:val="tx1"/>
            </w14:solidFill>
          </w14:textFill>
        </w:rPr>
      </w:pPr>
      <w:r>
        <w:rPr>
          <w:rFonts w:hint="eastAsia" w:ascii="方正小标宋_GBK" w:hAnsi="方正小标宋_GBK" w:eastAsia="方正小标宋_GBK" w:cs="方正小标宋_GBK"/>
          <w:color w:val="000000" w:themeColor="text1"/>
          <w:sz w:val="44"/>
          <w:szCs w:val="44"/>
          <w14:textFill>
            <w14:solidFill>
              <w14:schemeClr w14:val="tx1"/>
            </w14:solidFill>
          </w14:textFill>
        </w:rPr>
        <w:t>年度报告</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小标宋_GBK" w:hAnsi="方正小标宋_GBK" w:eastAsia="方正小标宋_GBK" w:cs="方正小标宋_GBK"/>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ascii="方正仿宋_GBK" w:eastAsia="方正仿宋_GBK"/>
          <w:color w:val="000000" w:themeColor="text1"/>
          <w:sz w:val="32"/>
          <w:szCs w:val="32"/>
          <w14:textFill>
            <w14:solidFill>
              <w14:schemeClr w14:val="tx1"/>
            </w14:solidFill>
          </w14:textFill>
        </w:rPr>
      </w:pPr>
      <w:r>
        <w:rPr>
          <w:rFonts w:hint="eastAsia" w:ascii="方正仿宋_GBK" w:eastAsia="方正仿宋_GBK"/>
          <w:color w:val="000000" w:themeColor="text1"/>
          <w:sz w:val="32"/>
          <w:szCs w:val="32"/>
          <w:shd w:val="clear" w:color="auto" w:fill="FFFFFF"/>
          <w14:textFill>
            <w14:solidFill>
              <w14:schemeClr w14:val="tx1"/>
            </w14:solidFill>
          </w14:textFill>
        </w:rPr>
        <w:t>根据《中华人民共和国政府信息公开条例》和《中华人民共和国政府信息公开工作年度报告格式》要求，现发布《重庆两江新区202</w:t>
      </w:r>
      <w:r>
        <w:rPr>
          <w:rFonts w:hint="eastAsia" w:ascii="方正仿宋_GBK" w:eastAsia="方正仿宋_GBK"/>
          <w:color w:val="000000" w:themeColor="text1"/>
          <w:sz w:val="32"/>
          <w:szCs w:val="32"/>
          <w:shd w:val="clear" w:color="auto" w:fill="FFFFFF"/>
          <w:lang w:val="en-US" w:eastAsia="zh-CN"/>
          <w14:textFill>
            <w14:solidFill>
              <w14:schemeClr w14:val="tx1"/>
            </w14:solidFill>
          </w14:textFill>
        </w:rPr>
        <w:t>3</w:t>
      </w:r>
      <w:r>
        <w:rPr>
          <w:rFonts w:hint="eastAsia" w:ascii="方正仿宋_GBK" w:eastAsia="方正仿宋_GBK"/>
          <w:color w:val="000000" w:themeColor="text1"/>
          <w:sz w:val="32"/>
          <w:szCs w:val="32"/>
          <w:shd w:val="clear" w:color="auto" w:fill="FFFFFF"/>
          <w14:textFill>
            <w14:solidFill>
              <w14:schemeClr w14:val="tx1"/>
            </w14:solidFill>
          </w14:textFill>
        </w:rPr>
        <w:t>年政府信息公开工作年度报告》。</w:t>
      </w:r>
      <w:r>
        <w:rPr>
          <w:rFonts w:hint="eastAsia" w:ascii="方正仿宋_GBK" w:eastAsia="方正仿宋_GBK"/>
          <w:color w:val="000000" w:themeColor="text1"/>
          <w:sz w:val="32"/>
          <w:szCs w:val="32"/>
          <w14:textFill>
            <w14:solidFill>
              <w14:schemeClr w14:val="tx1"/>
            </w14:solidFill>
          </w14:textFill>
        </w:rPr>
        <w:t>所列数据统计期限自202</w:t>
      </w:r>
      <w:r>
        <w:rPr>
          <w:rFonts w:hint="eastAsia" w:ascii="方正仿宋_GBK" w:eastAsia="方正仿宋_GBK"/>
          <w:color w:val="000000" w:themeColor="text1"/>
          <w:sz w:val="32"/>
          <w:szCs w:val="32"/>
          <w:lang w:val="en-US" w:eastAsia="zh-CN"/>
          <w14:textFill>
            <w14:solidFill>
              <w14:schemeClr w14:val="tx1"/>
            </w14:solidFill>
          </w14:textFill>
        </w:rPr>
        <w:t>3</w:t>
      </w:r>
      <w:r>
        <w:rPr>
          <w:rFonts w:hint="eastAsia" w:ascii="方正仿宋_GBK" w:eastAsia="方正仿宋_GBK"/>
          <w:color w:val="000000" w:themeColor="text1"/>
          <w:sz w:val="32"/>
          <w:szCs w:val="32"/>
          <w14:textFill>
            <w14:solidFill>
              <w14:schemeClr w14:val="tx1"/>
            </w14:solidFill>
          </w14:textFill>
        </w:rPr>
        <w:t>年1月1日起至202</w:t>
      </w:r>
      <w:r>
        <w:rPr>
          <w:rFonts w:hint="eastAsia" w:ascii="方正仿宋_GBK" w:eastAsia="方正仿宋_GBK"/>
          <w:color w:val="000000" w:themeColor="text1"/>
          <w:sz w:val="32"/>
          <w:szCs w:val="32"/>
          <w:lang w:val="en-US" w:eastAsia="zh-CN"/>
          <w14:textFill>
            <w14:solidFill>
              <w14:schemeClr w14:val="tx1"/>
            </w14:solidFill>
          </w14:textFill>
        </w:rPr>
        <w:t>3</w:t>
      </w:r>
      <w:r>
        <w:rPr>
          <w:rFonts w:hint="eastAsia" w:ascii="方正仿宋_GBK" w:eastAsia="方正仿宋_GBK"/>
          <w:color w:val="000000" w:themeColor="text1"/>
          <w:sz w:val="32"/>
          <w:szCs w:val="32"/>
          <w14:textFill>
            <w14:solidFill>
              <w14:schemeClr w14:val="tx1"/>
            </w14:solidFill>
          </w14:textFill>
        </w:rPr>
        <w:t>年12月31日止。</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ascii="方正黑体_GBK" w:eastAsia="方正黑体_GBK"/>
          <w:color w:val="000000" w:themeColor="text1"/>
          <w:sz w:val="32"/>
          <w:szCs w:val="32"/>
          <w:shd w:val="clear" w:color="auto" w:fill="FFFFFF"/>
          <w14:textFill>
            <w14:solidFill>
              <w14:schemeClr w14:val="tx1"/>
            </w14:solidFill>
          </w14:textFill>
        </w:rPr>
      </w:pPr>
      <w:r>
        <w:rPr>
          <w:rFonts w:hint="eastAsia" w:ascii="方正黑体_GBK" w:eastAsia="方正黑体_GBK"/>
          <w:color w:val="000000" w:themeColor="text1"/>
          <w:sz w:val="32"/>
          <w:szCs w:val="32"/>
          <w:shd w:val="clear" w:color="auto" w:fill="FFFFFF"/>
          <w14:textFill>
            <w14:solidFill>
              <w14:schemeClr w14:val="tx1"/>
            </w14:solidFill>
          </w14:textFill>
        </w:rPr>
        <w:t>一、总体情况</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方正仿宋_GB2312" w:hAnsi="方正仿宋_GB2312" w:eastAsia="方正仿宋_GB2312" w:cs="方正仿宋_GB2312"/>
          <w:color w:val="000000" w:themeColor="text1"/>
          <w:sz w:val="32"/>
          <w:szCs w:val="32"/>
          <w:shd w:val="clear" w:color="auto" w:fill="FFFFFF"/>
          <w14:textFill>
            <w14:solidFill>
              <w14:schemeClr w14:val="tx1"/>
            </w14:solidFill>
          </w14:textFill>
        </w:rPr>
      </w:pPr>
      <w:r>
        <w:rPr>
          <w:rFonts w:hint="eastAsia" w:ascii="方正仿宋_GB2312" w:hAnsi="方正仿宋_GB2312" w:eastAsia="方正仿宋_GB2312" w:cs="方正仿宋_GB2312"/>
          <w:color w:val="000000" w:themeColor="text1"/>
          <w:sz w:val="32"/>
          <w:szCs w:val="32"/>
          <w:shd w:val="clear" w:color="auto" w:fill="FFFFFF"/>
          <w14:textFill>
            <w14:solidFill>
              <w14:schemeClr w14:val="tx1"/>
            </w14:solidFill>
          </w14:textFill>
        </w:rPr>
        <w:t>202</w:t>
      </w:r>
      <w:r>
        <w:rPr>
          <w:rFonts w:hint="eastAsia" w:ascii="方正仿宋_GB2312" w:hAnsi="方正仿宋_GB2312" w:eastAsia="方正仿宋_GB2312" w:cs="方正仿宋_GB2312"/>
          <w:color w:val="000000" w:themeColor="text1"/>
          <w:sz w:val="32"/>
          <w:szCs w:val="32"/>
          <w:shd w:val="clear" w:color="auto" w:fill="FFFFFF"/>
          <w:lang w:val="en-US" w:eastAsia="zh-CN"/>
          <w14:textFill>
            <w14:solidFill>
              <w14:schemeClr w14:val="tx1"/>
            </w14:solidFill>
          </w14:textFill>
        </w:rPr>
        <w:t>3</w:t>
      </w:r>
      <w:r>
        <w:rPr>
          <w:rFonts w:hint="eastAsia" w:ascii="方正仿宋_GB2312" w:hAnsi="方正仿宋_GB2312" w:eastAsia="方正仿宋_GB2312" w:cs="方正仿宋_GB2312"/>
          <w:color w:val="000000" w:themeColor="text1"/>
          <w:sz w:val="32"/>
          <w:szCs w:val="32"/>
          <w:shd w:val="clear" w:color="auto" w:fill="FFFFFF"/>
          <w14:textFill>
            <w14:solidFill>
              <w14:schemeClr w14:val="tx1"/>
            </w14:solidFill>
          </w14:textFill>
        </w:rPr>
        <w:t>年，两江新区认真开展学习贯彻习近平新时代中国特色社会主义思想主题教育，按照党中央、国务院决策部署和市委、市政府工作要求，认真贯彻落实《中华人民共和国政府信息公开条例》，切实履行法定公开职责，着力加强自身建设，提升政务公开水平。</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textAlignment w:val="auto"/>
        <w:rPr>
          <w:rFonts w:hint="eastAsia" w:ascii="方正仿宋_GB2312" w:hAnsi="方正仿宋_GB2312" w:eastAsia="方正仿宋_GB2312" w:cs="方正仿宋_GB2312"/>
          <w:color w:val="000000" w:themeColor="text1"/>
          <w:sz w:val="32"/>
          <w:szCs w:val="32"/>
          <w14:textFill>
            <w14:solidFill>
              <w14:schemeClr w14:val="tx1"/>
            </w14:solidFill>
          </w14:textFill>
        </w:rPr>
      </w:pPr>
      <w:r>
        <w:rPr>
          <w:rFonts w:hint="eastAsia" w:ascii="方正楷体_GB2312" w:hAnsi="方正楷体_GB2312" w:eastAsia="方正楷体_GB2312" w:cs="方正楷体_GB2312"/>
          <w:color w:val="000000" w:themeColor="text1"/>
          <w:sz w:val="32"/>
          <w:szCs w:val="32"/>
          <w:lang w:val="en-US" w:eastAsia="zh-CN"/>
          <w14:textFill>
            <w14:solidFill>
              <w14:schemeClr w14:val="tx1"/>
            </w14:solidFill>
          </w14:textFill>
        </w:rPr>
        <w:t>（一）加强</w:t>
      </w:r>
      <w:r>
        <w:rPr>
          <w:rFonts w:hint="eastAsia" w:ascii="方正楷体_GB2312" w:hAnsi="方正楷体_GB2312" w:eastAsia="方正楷体_GB2312" w:cs="方正楷体_GB2312"/>
          <w:color w:val="000000" w:themeColor="text1"/>
          <w:sz w:val="32"/>
          <w:szCs w:val="32"/>
          <w14:textFill>
            <w14:solidFill>
              <w14:schemeClr w14:val="tx1"/>
            </w14:solidFill>
          </w14:textFill>
        </w:rPr>
        <w:t>主动公开</w:t>
      </w:r>
      <w:r>
        <w:rPr>
          <w:rFonts w:hint="eastAsia" w:ascii="方正楷体_GB2312" w:hAnsi="方正楷体_GB2312" w:eastAsia="方正楷体_GB2312" w:cs="方正楷体_GB2312"/>
          <w:color w:val="000000" w:themeColor="text1"/>
          <w:sz w:val="32"/>
          <w:szCs w:val="32"/>
          <w:lang w:eastAsia="zh-CN"/>
          <w14:textFill>
            <w14:solidFill>
              <w14:schemeClr w14:val="tx1"/>
            </w14:solidFill>
          </w14:textFill>
        </w:rPr>
        <w:t>。</w:t>
      </w:r>
      <w:r>
        <w:rPr>
          <w:rFonts w:hint="eastAsia" w:ascii="方正仿宋_GB2312" w:hAnsi="方正仿宋_GB2312" w:eastAsia="方正仿宋_GB2312" w:cs="方正仿宋_GB2312"/>
          <w:color w:val="000000" w:themeColor="text1"/>
          <w:sz w:val="32"/>
          <w:szCs w:val="32"/>
          <w14:textFill>
            <w14:solidFill>
              <w14:schemeClr w14:val="tx1"/>
            </w14:solidFill>
          </w14:textFill>
        </w:rPr>
        <w:t>202</w:t>
      </w:r>
      <w:r>
        <w:rPr>
          <w:rFonts w:hint="eastAsia" w:ascii="方正仿宋_GB2312" w:hAnsi="方正仿宋_GB2312" w:eastAsia="方正仿宋_GB2312" w:cs="方正仿宋_GB2312"/>
          <w:color w:val="000000" w:themeColor="text1"/>
          <w:sz w:val="32"/>
          <w:szCs w:val="32"/>
          <w:lang w:val="en-US" w:eastAsia="zh-CN"/>
          <w14:textFill>
            <w14:solidFill>
              <w14:schemeClr w14:val="tx1"/>
            </w14:solidFill>
          </w14:textFill>
        </w:rPr>
        <w:t>3</w:t>
      </w:r>
      <w:r>
        <w:rPr>
          <w:rFonts w:hint="eastAsia" w:ascii="方正仿宋_GB2312" w:hAnsi="方正仿宋_GB2312" w:eastAsia="方正仿宋_GB2312" w:cs="方正仿宋_GB2312"/>
          <w:color w:val="000000" w:themeColor="text1"/>
          <w:sz w:val="32"/>
          <w:szCs w:val="32"/>
          <w14:textFill>
            <w14:solidFill>
              <w14:schemeClr w14:val="tx1"/>
            </w14:solidFill>
          </w14:textFill>
        </w:rPr>
        <w:t>年，</w:t>
      </w:r>
      <w:r>
        <w:rPr>
          <w:rFonts w:hint="eastAsia" w:ascii="方正仿宋_GB2312" w:hAnsi="方正仿宋_GB2312" w:eastAsia="方正仿宋_GB2312" w:cs="方正仿宋_GB2312"/>
          <w:color w:val="000000" w:themeColor="text1"/>
          <w:sz w:val="32"/>
          <w:szCs w:val="32"/>
          <w:lang w:val="en-US" w:eastAsia="zh-CN"/>
          <w14:textFill>
            <w14:solidFill>
              <w14:schemeClr w14:val="tx1"/>
            </w14:solidFill>
          </w14:textFill>
        </w:rPr>
        <w:t>通过</w:t>
      </w:r>
      <w:r>
        <w:rPr>
          <w:rFonts w:hint="eastAsia" w:ascii="方正仿宋_GB2312" w:hAnsi="方正仿宋_GB2312" w:eastAsia="方正仿宋_GB2312" w:cs="方正仿宋_GB2312"/>
          <w:color w:val="000000" w:themeColor="text1"/>
          <w:sz w:val="32"/>
          <w:szCs w:val="32"/>
          <w14:textFill>
            <w14:solidFill>
              <w14:schemeClr w14:val="tx1"/>
            </w14:solidFill>
          </w14:textFill>
        </w:rPr>
        <w:t>两江新区政府门户网站</w:t>
      </w:r>
      <w:r>
        <w:rPr>
          <w:rFonts w:hint="eastAsia" w:ascii="方正仿宋_GB2312" w:hAnsi="方正仿宋_GB2312" w:eastAsia="方正仿宋_GB2312" w:cs="方正仿宋_GB2312"/>
          <w:color w:val="000000" w:themeColor="text1"/>
          <w:sz w:val="32"/>
          <w:szCs w:val="32"/>
          <w:lang w:val="en-US" w:eastAsia="zh-CN"/>
          <w14:textFill>
            <w14:solidFill>
              <w14:schemeClr w14:val="tx1"/>
            </w14:solidFill>
          </w14:textFill>
        </w:rPr>
        <w:t>主动公开公告公示、</w:t>
      </w:r>
      <w:r>
        <w:rPr>
          <w:rFonts w:hint="eastAsia" w:ascii="方正仿宋_GB2312" w:hAnsi="方正仿宋_GB2312" w:eastAsia="方正仿宋_GB2312" w:cs="方正仿宋_GB2312"/>
          <w:i w:val="0"/>
          <w:iCs w:val="0"/>
          <w:caps w:val="0"/>
          <w:color w:val="000000" w:themeColor="text1"/>
          <w:spacing w:val="0"/>
          <w:sz w:val="32"/>
          <w:szCs w:val="32"/>
          <w:shd w:val="clear" w:fill="FFFFFF"/>
          <w14:textFill>
            <w14:solidFill>
              <w14:schemeClr w14:val="tx1"/>
            </w14:solidFill>
          </w14:textFill>
        </w:rPr>
        <w:t>工作动态、政策</w:t>
      </w:r>
      <w:r>
        <w:rPr>
          <w:rFonts w:hint="eastAsia" w:ascii="方正仿宋_GB2312" w:hAnsi="方正仿宋_GB2312" w:eastAsia="方正仿宋_GB2312" w:cs="方正仿宋_GB2312"/>
          <w:i w:val="0"/>
          <w:iCs w:val="0"/>
          <w:caps w:val="0"/>
          <w:color w:val="000000" w:themeColor="text1"/>
          <w:spacing w:val="0"/>
          <w:sz w:val="32"/>
          <w:szCs w:val="32"/>
          <w:shd w:val="clear" w:fill="FFFFFF"/>
          <w:lang w:val="en-US" w:eastAsia="zh-CN"/>
          <w14:textFill>
            <w14:solidFill>
              <w14:schemeClr w14:val="tx1"/>
            </w14:solidFill>
          </w14:textFill>
        </w:rPr>
        <w:t>文件</w:t>
      </w:r>
      <w:r>
        <w:rPr>
          <w:rFonts w:hint="eastAsia" w:ascii="方正仿宋_GB2312" w:hAnsi="方正仿宋_GB2312" w:eastAsia="方正仿宋_GB2312" w:cs="方正仿宋_GB2312"/>
          <w:i w:val="0"/>
          <w:iCs w:val="0"/>
          <w:caps w:val="0"/>
          <w:color w:val="000000" w:themeColor="text1"/>
          <w:spacing w:val="0"/>
          <w:sz w:val="32"/>
          <w:szCs w:val="32"/>
          <w:shd w:val="clear" w:fill="FFFFFF"/>
          <w14:textFill>
            <w14:solidFill>
              <w14:schemeClr w14:val="tx1"/>
            </w14:solidFill>
          </w14:textFill>
        </w:rPr>
        <w:t>、政策解读、行政</w:t>
      </w:r>
      <w:r>
        <w:rPr>
          <w:rFonts w:hint="eastAsia" w:ascii="方正仿宋_GB2312" w:hAnsi="方正仿宋_GB2312" w:eastAsia="方正仿宋_GB2312" w:cs="方正仿宋_GB2312"/>
          <w:i w:val="0"/>
          <w:iCs w:val="0"/>
          <w:caps w:val="0"/>
          <w:color w:val="000000" w:themeColor="text1"/>
          <w:spacing w:val="0"/>
          <w:sz w:val="32"/>
          <w:szCs w:val="32"/>
          <w:shd w:val="clear" w:fill="FFFFFF"/>
          <w:lang w:val="en-US" w:eastAsia="zh-CN"/>
          <w14:textFill>
            <w14:solidFill>
              <w14:schemeClr w14:val="tx1"/>
            </w14:solidFill>
          </w14:textFill>
        </w:rPr>
        <w:t>许可</w:t>
      </w:r>
      <w:r>
        <w:rPr>
          <w:rFonts w:hint="eastAsia" w:ascii="方正仿宋_GB2312" w:hAnsi="方正仿宋_GB2312" w:eastAsia="方正仿宋_GB2312" w:cs="方正仿宋_GB2312"/>
          <w:i w:val="0"/>
          <w:iCs w:val="0"/>
          <w:caps w:val="0"/>
          <w:color w:val="000000" w:themeColor="text1"/>
          <w:spacing w:val="0"/>
          <w:sz w:val="32"/>
          <w:szCs w:val="32"/>
          <w:shd w:val="clear" w:fill="FFFFFF"/>
          <w14:textFill>
            <w14:solidFill>
              <w14:schemeClr w14:val="tx1"/>
            </w14:solidFill>
          </w14:textFill>
        </w:rPr>
        <w:t>、财政</w:t>
      </w:r>
      <w:r>
        <w:rPr>
          <w:rFonts w:hint="eastAsia" w:ascii="方正仿宋_GB2312" w:hAnsi="方正仿宋_GB2312" w:eastAsia="方正仿宋_GB2312" w:cs="方正仿宋_GB2312"/>
          <w:i w:val="0"/>
          <w:iCs w:val="0"/>
          <w:caps w:val="0"/>
          <w:color w:val="000000" w:themeColor="text1"/>
          <w:spacing w:val="0"/>
          <w:sz w:val="32"/>
          <w:szCs w:val="32"/>
          <w:shd w:val="clear" w:fill="FFFFFF"/>
          <w:lang w:val="en-US" w:eastAsia="zh-CN"/>
          <w14:textFill>
            <w14:solidFill>
              <w14:schemeClr w14:val="tx1"/>
            </w14:solidFill>
          </w14:textFill>
        </w:rPr>
        <w:t>预算</w:t>
      </w:r>
      <w:r>
        <w:rPr>
          <w:rFonts w:hint="eastAsia" w:ascii="方正仿宋_GB2312" w:hAnsi="方正仿宋_GB2312" w:eastAsia="方正仿宋_GB2312" w:cs="方正仿宋_GB2312"/>
          <w:i w:val="0"/>
          <w:iCs w:val="0"/>
          <w:caps w:val="0"/>
          <w:color w:val="000000" w:themeColor="text1"/>
          <w:spacing w:val="0"/>
          <w:sz w:val="32"/>
          <w:szCs w:val="32"/>
          <w:shd w:val="clear" w:fill="FFFFFF"/>
          <w14:textFill>
            <w14:solidFill>
              <w14:schemeClr w14:val="tx1"/>
            </w14:solidFill>
          </w14:textFill>
        </w:rPr>
        <w:t>预决</w:t>
      </w:r>
      <w:r>
        <w:rPr>
          <w:rFonts w:hint="eastAsia" w:ascii="方正仿宋_GB2312" w:hAnsi="方正仿宋_GB2312" w:eastAsia="方正仿宋_GB2312" w:cs="方正仿宋_GB2312"/>
          <w:i w:val="0"/>
          <w:iCs w:val="0"/>
          <w:caps w:val="0"/>
          <w:color w:val="000000" w:themeColor="text1"/>
          <w:spacing w:val="0"/>
          <w:sz w:val="32"/>
          <w:szCs w:val="32"/>
          <w:shd w:val="clear" w:fill="FFFFFF"/>
          <w:lang w:val="en-US" w:eastAsia="zh-CN"/>
          <w14:textFill>
            <w14:solidFill>
              <w14:schemeClr w14:val="tx1"/>
            </w14:solidFill>
          </w14:textFill>
        </w:rPr>
        <w:t>等相关内容，全年发布信息10866条，通过政务新媒体（微博、微信、移动客户端、抖音）发布信息14603条，</w:t>
      </w:r>
      <w:r>
        <w:rPr>
          <w:rFonts w:hint="eastAsia" w:ascii="方正仿宋_GB2312" w:hAnsi="方正仿宋_GB2312" w:eastAsia="方正仿宋_GB2312" w:cs="方正仿宋_GB2312"/>
          <w:i w:val="0"/>
          <w:iCs w:val="0"/>
          <w:caps w:val="0"/>
          <w:color w:val="000000" w:themeColor="text1"/>
          <w:spacing w:val="0"/>
          <w:sz w:val="32"/>
          <w:szCs w:val="32"/>
          <w:shd w:val="clear" w:fill="FFFFFF"/>
          <w14:textFill>
            <w14:solidFill>
              <w14:schemeClr w14:val="tx1"/>
            </w14:solidFill>
          </w14:textFill>
        </w:rPr>
        <w:t>切实保障人民群众知情权、参与权、监督权</w:t>
      </w:r>
      <w:r>
        <w:rPr>
          <w:rFonts w:hint="eastAsia" w:ascii="方正仿宋_GB2312" w:hAnsi="方正仿宋_GB2312" w:eastAsia="方正仿宋_GB2312" w:cs="方正仿宋_GB2312"/>
          <w:i w:val="0"/>
          <w:iCs w:val="0"/>
          <w:caps w:val="0"/>
          <w:color w:val="000000" w:themeColor="text1"/>
          <w:spacing w:val="0"/>
          <w:sz w:val="32"/>
          <w:szCs w:val="32"/>
          <w:shd w:val="clear" w:fill="FFFFFF"/>
          <w:lang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textAlignment w:val="auto"/>
        <w:rPr>
          <w:rFonts w:hint="eastAsia" w:ascii="方正仿宋_GB2312" w:hAnsi="方正仿宋_GB2312" w:eastAsia="方正仿宋_GB2312" w:cs="方正仿宋_GB2312"/>
          <w:color w:val="000000" w:themeColor="text1"/>
          <w:sz w:val="32"/>
          <w:szCs w:val="32"/>
          <w14:textFill>
            <w14:solidFill>
              <w14:schemeClr w14:val="tx1"/>
            </w14:solidFill>
          </w14:textFill>
        </w:rPr>
      </w:pPr>
      <w:r>
        <w:rPr>
          <w:rFonts w:hint="eastAsia" w:ascii="方正楷体_GB2312" w:hAnsi="方正楷体_GB2312" w:eastAsia="方正楷体_GB2312" w:cs="方正楷体_GB2312"/>
          <w:color w:val="000000" w:themeColor="text1"/>
          <w:sz w:val="32"/>
          <w:szCs w:val="32"/>
          <w:lang w:val="en-US" w:eastAsia="zh-CN"/>
          <w14:textFill>
            <w14:solidFill>
              <w14:schemeClr w14:val="tx1"/>
            </w14:solidFill>
          </w14:textFill>
        </w:rPr>
        <w:t>（二）做好</w:t>
      </w:r>
      <w:r>
        <w:rPr>
          <w:rFonts w:hint="eastAsia" w:ascii="方正楷体_GB2312" w:hAnsi="方正楷体_GB2312" w:eastAsia="方正楷体_GB2312" w:cs="方正楷体_GB2312"/>
          <w:color w:val="000000" w:themeColor="text1"/>
          <w:sz w:val="32"/>
          <w:szCs w:val="32"/>
          <w14:textFill>
            <w14:solidFill>
              <w14:schemeClr w14:val="tx1"/>
            </w14:solidFill>
          </w14:textFill>
        </w:rPr>
        <w:t>依申请公开。</w:t>
      </w:r>
      <w:r>
        <w:rPr>
          <w:rFonts w:hint="eastAsia" w:ascii="方正仿宋_GB2312" w:hAnsi="方正仿宋_GB2312" w:eastAsia="方正仿宋_GB2312" w:cs="方正仿宋_GB2312"/>
          <w:i w:val="0"/>
          <w:iCs w:val="0"/>
          <w:caps w:val="0"/>
          <w:color w:val="000000" w:themeColor="text1"/>
          <w:spacing w:val="0"/>
          <w:sz w:val="32"/>
          <w:szCs w:val="32"/>
          <w:shd w:val="clear" w:fill="FFFFFF"/>
          <w14:textFill>
            <w14:solidFill>
              <w14:schemeClr w14:val="tx1"/>
            </w14:solidFill>
          </w14:textFill>
        </w:rPr>
        <w:t>印发《重庆两江新区管理委员会办公室关于规范政府信息依申请公开办理工作的通知》，进一步对依申请公开办理流程、答复文书等进行规范。拓宽依申请公开渠道，</w:t>
      </w:r>
      <w:r>
        <w:rPr>
          <w:rFonts w:hint="eastAsia" w:ascii="方正仿宋_GB2312" w:hAnsi="方正仿宋_GB2312" w:eastAsia="方正仿宋_GB2312" w:cs="方正仿宋_GB2312"/>
          <w:i w:val="0"/>
          <w:iCs w:val="0"/>
          <w:caps w:val="0"/>
          <w:color w:val="000000" w:themeColor="text1"/>
          <w:spacing w:val="0"/>
          <w:sz w:val="32"/>
          <w:szCs w:val="32"/>
          <w:shd w:val="clear" w:fill="FFFFFF"/>
          <w:lang w:val="en-US" w:eastAsia="zh-CN"/>
          <w14:textFill>
            <w14:solidFill>
              <w14:schemeClr w14:val="tx1"/>
            </w14:solidFill>
          </w14:textFill>
        </w:rPr>
        <w:t>通过政务公开专区接收政府信息公开申请12件。</w:t>
      </w:r>
      <w:r>
        <w:rPr>
          <w:rFonts w:hint="eastAsia" w:ascii="方正仿宋_GB2312" w:hAnsi="方正仿宋_GB2312" w:eastAsia="方正仿宋_GB2312" w:cs="方正仿宋_GB2312"/>
          <w:color w:val="000000" w:themeColor="text1"/>
          <w:sz w:val="32"/>
          <w:szCs w:val="32"/>
          <w:lang w:val="en-US" w:eastAsia="zh-CN"/>
          <w14:textFill>
            <w14:solidFill>
              <w14:schemeClr w14:val="tx1"/>
            </w14:solidFill>
          </w14:textFill>
        </w:rPr>
        <w:t>2023年，全区收到政府信息公开申请278件，办结274件（含上年结转3件），</w:t>
      </w:r>
      <w:r>
        <w:rPr>
          <w:rFonts w:hint="eastAsia" w:ascii="方正仿宋_GB2312" w:hAnsi="方正仿宋_GB2312" w:eastAsia="方正仿宋_GB2312" w:cs="方正仿宋_GB2312"/>
          <w:color w:val="000000" w:themeColor="text1"/>
          <w:sz w:val="32"/>
          <w:szCs w:val="32"/>
          <w14:textFill>
            <w14:solidFill>
              <w14:schemeClr w14:val="tx1"/>
            </w14:solidFill>
          </w14:textFill>
        </w:rPr>
        <w:t>结转下年度继续办理政府信息公开申请</w:t>
      </w:r>
      <w:r>
        <w:rPr>
          <w:rFonts w:hint="eastAsia" w:ascii="方正仿宋_GB2312" w:hAnsi="方正仿宋_GB2312" w:eastAsia="方正仿宋_GB2312" w:cs="方正仿宋_GB2312"/>
          <w:color w:val="000000" w:themeColor="text1"/>
          <w:sz w:val="32"/>
          <w:szCs w:val="32"/>
          <w:lang w:val="en-US" w:eastAsia="zh-CN"/>
          <w14:textFill>
            <w14:solidFill>
              <w14:schemeClr w14:val="tx1"/>
            </w14:solidFill>
          </w14:textFill>
        </w:rPr>
        <w:t>7</w:t>
      </w:r>
      <w:r>
        <w:rPr>
          <w:rFonts w:hint="eastAsia" w:ascii="方正仿宋_GB2312" w:hAnsi="方正仿宋_GB2312" w:eastAsia="方正仿宋_GB2312" w:cs="方正仿宋_GB2312"/>
          <w:color w:val="000000" w:themeColor="text1"/>
          <w:sz w:val="32"/>
          <w:szCs w:val="32"/>
          <w14:textFill>
            <w14:solidFill>
              <w14:schemeClr w14:val="tx1"/>
            </w14:solidFill>
          </w14:textFill>
        </w:rPr>
        <w:t>件。未发生政府信息公开收费情况。</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方正仿宋_GB2312" w:hAnsi="方正仿宋_GB2312" w:eastAsia="方正仿宋_GB2312" w:cs="方正仿宋_GB2312"/>
          <w:color w:val="000000" w:themeColor="text1"/>
          <w:sz w:val="32"/>
          <w:szCs w:val="32"/>
          <w:shd w:val="clear" w:color="auto" w:fill="FFFFFF"/>
          <w14:textFill>
            <w14:solidFill>
              <w14:schemeClr w14:val="tx1"/>
            </w14:solidFill>
          </w14:textFill>
        </w:rPr>
      </w:pPr>
      <w:r>
        <w:rPr>
          <w:rFonts w:hint="eastAsia" w:ascii="方正楷体_GB2312" w:hAnsi="方正楷体_GB2312" w:eastAsia="方正楷体_GB2312" w:cs="方正楷体_GB2312"/>
          <w:color w:val="000000" w:themeColor="text1"/>
          <w:sz w:val="32"/>
          <w:szCs w:val="32"/>
          <w14:textFill>
            <w14:solidFill>
              <w14:schemeClr w14:val="tx1"/>
            </w14:solidFill>
          </w14:textFill>
        </w:rPr>
        <w:t>（三）</w:t>
      </w:r>
      <w:r>
        <w:rPr>
          <w:rFonts w:hint="eastAsia" w:ascii="方正楷体_GB2312" w:hAnsi="方正楷体_GB2312" w:eastAsia="方正楷体_GB2312" w:cs="方正楷体_GB2312"/>
          <w:color w:val="000000" w:themeColor="text1"/>
          <w:sz w:val="32"/>
          <w:szCs w:val="32"/>
          <w:lang w:val="en-US" w:eastAsia="zh-CN"/>
          <w14:textFill>
            <w14:solidFill>
              <w14:schemeClr w14:val="tx1"/>
            </w14:solidFill>
          </w14:textFill>
        </w:rPr>
        <w:t>规范</w:t>
      </w:r>
      <w:r>
        <w:rPr>
          <w:rFonts w:hint="eastAsia" w:ascii="方正楷体_GB2312" w:hAnsi="方正楷体_GB2312" w:eastAsia="方正楷体_GB2312" w:cs="方正楷体_GB2312"/>
          <w:color w:val="000000" w:themeColor="text1"/>
          <w:sz w:val="32"/>
          <w:szCs w:val="32"/>
          <w14:textFill>
            <w14:solidFill>
              <w14:schemeClr w14:val="tx1"/>
            </w14:solidFill>
          </w14:textFill>
        </w:rPr>
        <w:t>政府信息管理。</w:t>
      </w:r>
      <w:r>
        <w:rPr>
          <w:rFonts w:hint="eastAsia" w:ascii="方正仿宋_GB2312" w:hAnsi="方正仿宋_GB2312" w:eastAsia="方正仿宋_GB2312" w:cs="方正仿宋_GB2312"/>
          <w:color w:val="000000" w:themeColor="text1"/>
          <w:sz w:val="32"/>
          <w:szCs w:val="32"/>
          <w14:textFill>
            <w14:solidFill>
              <w14:schemeClr w14:val="tx1"/>
            </w14:solidFill>
          </w14:textFill>
        </w:rPr>
        <w:t>严格落实《两江新区公文公开属性源头认定办法》，对以管委会或管委会办公室名义发文的文件在送审前必须通过公开属性认定。梳理现行有效的行政规范性文件</w:t>
      </w:r>
      <w:r>
        <w:rPr>
          <w:rFonts w:hint="eastAsia" w:ascii="方正仿宋_GB2312" w:hAnsi="方正仿宋_GB2312" w:eastAsia="方正仿宋_GB2312" w:cs="方正仿宋_GB2312"/>
          <w:color w:val="000000" w:themeColor="text1"/>
          <w:sz w:val="32"/>
          <w:szCs w:val="32"/>
          <w:lang w:val="en-US" w:eastAsia="zh-CN"/>
          <w14:textFill>
            <w14:solidFill>
              <w14:schemeClr w14:val="tx1"/>
            </w14:solidFill>
          </w14:textFill>
        </w:rPr>
        <w:t>45</w:t>
      </w:r>
      <w:r>
        <w:rPr>
          <w:rFonts w:hint="eastAsia" w:ascii="方正仿宋_GB2312" w:hAnsi="方正仿宋_GB2312" w:eastAsia="方正仿宋_GB2312" w:cs="方正仿宋_GB2312"/>
          <w:color w:val="000000" w:themeColor="text1"/>
          <w:sz w:val="32"/>
          <w:szCs w:val="32"/>
          <w14:textFill>
            <w14:solidFill>
              <w14:schemeClr w14:val="tx1"/>
            </w14:solidFill>
          </w14:textFill>
        </w:rPr>
        <w:t>件，通过“行政规范性文件”专栏集中对外公开并动态更新；落实“三审三校”</w:t>
      </w:r>
      <w:r>
        <w:rPr>
          <w:rFonts w:hint="eastAsia" w:ascii="方正仿宋_GB2312" w:hAnsi="方正仿宋_GB2312" w:eastAsia="方正仿宋_GB2312" w:cs="方正仿宋_GB2312"/>
          <w:color w:val="000000" w:themeColor="text1"/>
          <w:sz w:val="32"/>
          <w:szCs w:val="32"/>
          <w:lang w:eastAsia="zh-CN"/>
          <w14:textFill>
            <w14:solidFill>
              <w14:schemeClr w14:val="tx1"/>
            </w14:solidFill>
          </w14:textFill>
        </w:rPr>
        <w:t>，</w:t>
      </w:r>
      <w:r>
        <w:rPr>
          <w:rFonts w:hint="eastAsia" w:ascii="方正仿宋_GB2312" w:hAnsi="方正仿宋_GB2312" w:eastAsia="方正仿宋_GB2312" w:cs="方正仿宋_GB2312"/>
          <w:color w:val="000000" w:themeColor="text1"/>
          <w:sz w:val="32"/>
          <w:szCs w:val="32"/>
          <w14:textFill>
            <w14:solidFill>
              <w14:schemeClr w14:val="tx1"/>
            </w14:solidFill>
          </w14:textFill>
        </w:rPr>
        <w:t>严把政治关、法律关、保密关、政策关，确保信息发布的权威性和公信力。</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方正仿宋_GB2312" w:hAnsi="方正仿宋_GB2312" w:eastAsia="方正仿宋_GB2312" w:cs="方正仿宋_GB2312"/>
          <w:color w:val="000000" w:themeColor="text1"/>
          <w:sz w:val="32"/>
          <w:szCs w:val="32"/>
          <w:shd w:val="clear" w:color="auto" w:fill="FFFFFF"/>
          <w:lang w:val="en-US" w:eastAsia="zh-CN"/>
          <w14:textFill>
            <w14:solidFill>
              <w14:schemeClr w14:val="tx1"/>
            </w14:solidFill>
          </w14:textFill>
        </w:rPr>
      </w:pPr>
      <w:r>
        <w:rPr>
          <w:rFonts w:hint="eastAsia" w:ascii="方正楷体_GB2312" w:hAnsi="方正楷体_GB2312" w:eastAsia="方正楷体_GB2312" w:cs="方正楷体_GB2312"/>
          <w:color w:val="000000" w:themeColor="text1"/>
          <w:sz w:val="32"/>
          <w:szCs w:val="32"/>
          <w14:textFill>
            <w14:solidFill>
              <w14:schemeClr w14:val="tx1"/>
            </w14:solidFill>
          </w14:textFill>
        </w:rPr>
        <w:t>（四）</w:t>
      </w:r>
      <w:r>
        <w:rPr>
          <w:rFonts w:hint="eastAsia" w:ascii="方正楷体_GB2312" w:hAnsi="方正楷体_GB2312" w:eastAsia="方正楷体_GB2312" w:cs="方正楷体_GB2312"/>
          <w:color w:val="000000" w:themeColor="text1"/>
          <w:sz w:val="32"/>
          <w:szCs w:val="32"/>
          <w:lang w:val="en-US" w:eastAsia="zh-CN"/>
          <w14:textFill>
            <w14:solidFill>
              <w14:schemeClr w14:val="tx1"/>
            </w14:solidFill>
          </w14:textFill>
        </w:rPr>
        <w:t>推进</w:t>
      </w:r>
      <w:r>
        <w:rPr>
          <w:rFonts w:hint="eastAsia" w:ascii="方正楷体_GB2312" w:hAnsi="方正楷体_GB2312" w:eastAsia="方正楷体_GB2312" w:cs="方正楷体_GB2312"/>
          <w:color w:val="000000" w:themeColor="text1"/>
          <w:sz w:val="32"/>
          <w:szCs w:val="32"/>
          <w14:textFill>
            <w14:solidFill>
              <w14:schemeClr w14:val="tx1"/>
            </w14:solidFill>
          </w14:textFill>
        </w:rPr>
        <w:t>政府信</w:t>
      </w:r>
      <w:r>
        <w:rPr>
          <w:rFonts w:hint="eastAsia" w:ascii="方正楷体_GB2312" w:hAnsi="方正楷体_GB2312" w:eastAsia="方正楷体_GB2312" w:cs="方正楷体_GB2312"/>
          <w:color w:val="000000" w:themeColor="text1"/>
          <w:sz w:val="32"/>
          <w:szCs w:val="32"/>
          <w:shd w:val="clear" w:color="auto" w:fill="FFFFFF"/>
          <w14:textFill>
            <w14:solidFill>
              <w14:schemeClr w14:val="tx1"/>
            </w14:solidFill>
          </w14:textFill>
        </w:rPr>
        <w:t>息公开平台建设。</w:t>
      </w:r>
      <w:r>
        <w:rPr>
          <w:rFonts w:hint="eastAsia" w:ascii="方正仿宋_GB2312" w:hAnsi="方正仿宋_GB2312" w:eastAsia="方正仿宋_GB2312" w:cs="方正仿宋_GB2312"/>
          <w:i w:val="0"/>
          <w:iCs w:val="0"/>
          <w:caps w:val="0"/>
          <w:color w:val="000000" w:themeColor="text1"/>
          <w:spacing w:val="0"/>
          <w:sz w:val="32"/>
          <w:szCs w:val="32"/>
          <w:shd w:val="clear" w:fill="FFFFFF"/>
          <w14:textFill>
            <w14:solidFill>
              <w14:schemeClr w14:val="tx1"/>
            </w14:solidFill>
          </w14:textFill>
        </w:rPr>
        <w:t>做好两江新区政府门户网站提档升级，完成网站适老化、无障碍改造，优化政府网站移动版，及时对栏目进行更新调整，更好满足人民群众获取和利用政府信息资源的需求。</w:t>
      </w:r>
      <w:r>
        <w:rPr>
          <w:rFonts w:hint="eastAsia" w:ascii="方正仿宋_GB2312" w:hAnsi="方正仿宋_GB2312" w:eastAsia="方正仿宋_GB2312" w:cs="方正仿宋_GB2312"/>
          <w:i w:val="0"/>
          <w:iCs w:val="0"/>
          <w:caps w:val="0"/>
          <w:color w:val="000000" w:themeColor="text1"/>
          <w:spacing w:val="0"/>
          <w:sz w:val="32"/>
          <w:szCs w:val="32"/>
          <w:shd w:val="clear" w:fill="FFFFFF"/>
          <w:lang w:val="en-US" w:eastAsia="zh-CN"/>
          <w14:textFill>
            <w14:solidFill>
              <w14:schemeClr w14:val="tx1"/>
            </w14:solidFill>
          </w14:textFill>
        </w:rPr>
        <w:t>加强政务新媒体管理工作，</w:t>
      </w:r>
      <w:r>
        <w:rPr>
          <w:rFonts w:hint="eastAsia" w:ascii="方正仿宋_GB2312" w:hAnsi="方正仿宋_GB2312" w:eastAsia="方正仿宋_GB2312" w:cs="方正仿宋_GB2312"/>
          <w:color w:val="000000" w:themeColor="text1"/>
          <w:sz w:val="32"/>
          <w:szCs w:val="32"/>
          <w:shd w:val="clear" w:color="auto" w:fill="FFFFFF"/>
          <w14:textFill>
            <w14:solidFill>
              <w14:schemeClr w14:val="tx1"/>
            </w14:solidFill>
          </w14:textFill>
        </w:rPr>
        <w:t>强化“重庆两江新区”微信公众号等政务新媒体政策发布、便民互动等功能。推进政务公开专区体系化建设</w:t>
      </w:r>
      <w:r>
        <w:rPr>
          <w:rFonts w:hint="eastAsia" w:ascii="方正仿宋_GB2312" w:hAnsi="方正仿宋_GB2312" w:eastAsia="方正仿宋_GB2312" w:cs="方正仿宋_GB2312"/>
          <w:color w:val="000000" w:themeColor="text1"/>
          <w:sz w:val="32"/>
          <w:szCs w:val="32"/>
          <w:shd w:val="clear" w:color="auto" w:fill="FFFFFF"/>
          <w:lang w:eastAsia="zh-CN"/>
          <w14:textFill>
            <w14:solidFill>
              <w14:schemeClr w14:val="tx1"/>
            </w14:solidFill>
          </w14:textFill>
        </w:rPr>
        <w:t>，</w:t>
      </w:r>
      <w:r>
        <w:rPr>
          <w:rFonts w:hint="eastAsia" w:ascii="方正仿宋_GB2312" w:hAnsi="方正仿宋_GB2312" w:eastAsia="方正仿宋_GB2312" w:cs="方正仿宋_GB2312"/>
          <w:color w:val="000000" w:themeColor="text1"/>
          <w:sz w:val="32"/>
          <w:szCs w:val="32"/>
          <w:shd w:val="clear" w:color="auto" w:fill="FFFFFF"/>
          <w:lang w:val="en-US" w:eastAsia="zh-CN"/>
          <w14:textFill>
            <w14:solidFill>
              <w14:schemeClr w14:val="tx1"/>
            </w14:solidFill>
          </w14:textFill>
        </w:rPr>
        <w:t>基本形成“2+8+16”</w:t>
      </w:r>
      <w:r>
        <w:rPr>
          <w:rFonts w:hint="eastAsia" w:ascii="方正仿宋_GB2312" w:hAnsi="方正仿宋_GB2312" w:eastAsia="方正仿宋_GB2312" w:cs="方正仿宋_GB2312"/>
          <w:color w:val="000000" w:themeColor="text1"/>
          <w:sz w:val="32"/>
          <w:szCs w:val="32"/>
          <w:shd w:val="clear" w:color="auto" w:fill="FFFFFF"/>
          <w14:textFill>
            <w14:solidFill>
              <w14:schemeClr w14:val="tx1"/>
            </w14:solidFill>
          </w14:textFill>
        </w:rPr>
        <w:t>三级政务公开专区体系</w:t>
      </w:r>
      <w:r>
        <w:rPr>
          <w:rFonts w:hint="eastAsia" w:ascii="方正仿宋_GB2312" w:hAnsi="方正仿宋_GB2312" w:eastAsia="方正仿宋_GB2312" w:cs="方正仿宋_GB2312"/>
          <w:color w:val="000000" w:themeColor="text1"/>
          <w:sz w:val="32"/>
          <w:szCs w:val="32"/>
          <w:shd w:val="clear" w:color="auto" w:fill="FFFFFF"/>
          <w:lang w:eastAsia="zh-CN"/>
          <w14:textFill>
            <w14:solidFill>
              <w14:schemeClr w14:val="tx1"/>
            </w14:solidFill>
          </w14:textFill>
        </w:rPr>
        <w:t>，</w:t>
      </w:r>
      <w:r>
        <w:rPr>
          <w:rFonts w:hint="eastAsia" w:ascii="方正仿宋_GB2312" w:hAnsi="方正仿宋_GB2312" w:eastAsia="方正仿宋_GB2312" w:cs="方正仿宋_GB2312"/>
          <w:color w:val="000000" w:themeColor="text1"/>
          <w:sz w:val="32"/>
          <w:szCs w:val="32"/>
          <w:shd w:val="clear" w:color="auto" w:fill="FFFFFF"/>
          <w:lang w:val="en-US" w:eastAsia="zh-CN"/>
          <w14:textFill>
            <w14:solidFill>
              <w14:schemeClr w14:val="tx1"/>
            </w14:solidFill>
          </w14:textFill>
        </w:rPr>
        <w:t>为市场主体和群众提供政府信息查询、信息公开申请、办事咨询服务、政策宣传解读等一站式服务。2023年通过政务公开专区受理依申请公开12件。</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ascii="方正仿宋_GBK" w:eastAsia="方正仿宋_GBK"/>
          <w:color w:val="000000" w:themeColor="text1"/>
          <w:sz w:val="32"/>
          <w:szCs w:val="32"/>
          <w:shd w:val="clear" w:color="auto" w:fill="FFFFFF"/>
          <w14:textFill>
            <w14:solidFill>
              <w14:schemeClr w14:val="tx1"/>
            </w14:solidFill>
          </w14:textFill>
        </w:rPr>
      </w:pPr>
      <w:r>
        <w:rPr>
          <w:rFonts w:hint="eastAsia" w:ascii="方正楷体_GB2312" w:hAnsi="方正楷体_GB2312" w:eastAsia="方正楷体_GB2312" w:cs="方正楷体_GB2312"/>
          <w:color w:val="000000" w:themeColor="text1"/>
          <w:sz w:val="32"/>
          <w:szCs w:val="32"/>
          <w:shd w:val="clear" w:color="auto" w:fill="FFFFFF"/>
          <w14:textFill>
            <w14:solidFill>
              <w14:schemeClr w14:val="tx1"/>
            </w14:solidFill>
          </w14:textFill>
        </w:rPr>
        <w:t>（五）</w:t>
      </w:r>
      <w:r>
        <w:rPr>
          <w:rFonts w:hint="eastAsia" w:ascii="方正楷体_GB2312" w:hAnsi="方正楷体_GB2312" w:eastAsia="方正楷体_GB2312" w:cs="方正楷体_GB2312"/>
          <w:color w:val="000000" w:themeColor="text1"/>
          <w:sz w:val="32"/>
          <w:szCs w:val="32"/>
          <w:shd w:val="clear" w:color="auto" w:fill="FFFFFF"/>
          <w:lang w:val="en-US" w:eastAsia="zh-CN"/>
          <w14:textFill>
            <w14:solidFill>
              <w14:schemeClr w14:val="tx1"/>
            </w14:solidFill>
          </w14:textFill>
        </w:rPr>
        <w:t>健全</w:t>
      </w:r>
      <w:r>
        <w:rPr>
          <w:rFonts w:hint="eastAsia" w:ascii="方正楷体_GB2312" w:hAnsi="方正楷体_GB2312" w:eastAsia="方正楷体_GB2312" w:cs="方正楷体_GB2312"/>
          <w:color w:val="000000" w:themeColor="text1"/>
          <w:sz w:val="32"/>
          <w:szCs w:val="32"/>
          <w:shd w:val="clear" w:color="auto" w:fill="FFFFFF"/>
          <w14:textFill>
            <w14:solidFill>
              <w14:schemeClr w14:val="tx1"/>
            </w14:solidFill>
          </w14:textFill>
        </w:rPr>
        <w:t>监督保障。</w:t>
      </w:r>
      <w:r>
        <w:rPr>
          <w:rFonts w:hint="eastAsia" w:ascii="方正仿宋_GB2312" w:hAnsi="方正仿宋_GB2312" w:eastAsia="方正仿宋_GB2312" w:cs="方正仿宋_GB2312"/>
          <w:color w:val="000000" w:themeColor="text1"/>
          <w:sz w:val="32"/>
          <w:szCs w:val="32"/>
          <w:shd w:val="clear" w:color="auto" w:fill="FFFFFF"/>
          <w14:textFill>
            <w14:solidFill>
              <w14:schemeClr w14:val="tx1"/>
            </w14:solidFill>
          </w14:textFill>
        </w:rPr>
        <w:t>将政务公开工作纳入绩效考核，通过</w:t>
      </w:r>
      <w:r>
        <w:rPr>
          <w:rFonts w:hint="eastAsia" w:ascii="方正仿宋_GB2312" w:hAnsi="方正仿宋_GB2312" w:eastAsia="方正仿宋_GB2312" w:cs="方正仿宋_GB2312"/>
          <w:color w:val="000000" w:themeColor="text1"/>
          <w:sz w:val="32"/>
          <w:szCs w:val="32"/>
          <w:shd w:val="clear" w:color="auto" w:fill="FFFFFF"/>
          <w:lang w:val="en-US" w:eastAsia="zh-CN"/>
          <w14:textFill>
            <w14:solidFill>
              <w14:schemeClr w14:val="tx1"/>
            </w14:solidFill>
          </w14:textFill>
        </w:rPr>
        <w:t>月度通报、</w:t>
      </w:r>
      <w:r>
        <w:rPr>
          <w:rFonts w:hint="eastAsia" w:ascii="方正仿宋_GB2312" w:hAnsi="方正仿宋_GB2312" w:eastAsia="方正仿宋_GB2312" w:cs="方正仿宋_GB2312"/>
          <w:color w:val="000000" w:themeColor="text1"/>
          <w:sz w:val="32"/>
          <w:szCs w:val="32"/>
          <w:shd w:val="clear" w:color="auto" w:fill="FFFFFF"/>
          <w14:textFill>
            <w14:solidFill>
              <w14:schemeClr w14:val="tx1"/>
            </w14:solidFill>
          </w14:textFill>
        </w:rPr>
        <w:t>不定期抽查等方式，加强对辖区内政府信息公开工作情况的检查指导。</w:t>
      </w:r>
      <w:r>
        <w:rPr>
          <w:rFonts w:hint="eastAsia" w:ascii="方正仿宋_GB2312" w:hAnsi="方正仿宋_GB2312" w:eastAsia="方正仿宋_GB2312" w:cs="方正仿宋_GB2312"/>
          <w:color w:val="000000" w:themeColor="text1"/>
          <w:sz w:val="32"/>
          <w:szCs w:val="32"/>
          <w:shd w:val="clear" w:color="auto" w:fill="FFFFFF"/>
          <w:lang w:val="en-US" w:eastAsia="zh-CN"/>
          <w14:textFill>
            <w14:solidFill>
              <w14:schemeClr w14:val="tx1"/>
            </w14:solidFill>
          </w14:textFill>
        </w:rPr>
        <w:t>强化</w:t>
      </w:r>
      <w:r>
        <w:rPr>
          <w:rFonts w:hint="eastAsia" w:ascii="方正仿宋_GB2312" w:hAnsi="方正仿宋_GB2312" w:eastAsia="方正仿宋_GB2312" w:cs="方正仿宋_GB2312"/>
          <w:color w:val="000000" w:themeColor="text1"/>
          <w:sz w:val="32"/>
          <w:szCs w:val="32"/>
          <w:shd w:val="clear" w:color="auto" w:fill="FFFFFF"/>
          <w14:textFill>
            <w14:solidFill>
              <w14:schemeClr w14:val="tx1"/>
            </w14:solidFill>
          </w14:textFill>
        </w:rPr>
        <w:t>日常监管</w:t>
      </w:r>
      <w:r>
        <w:rPr>
          <w:rFonts w:hint="eastAsia" w:ascii="方正仿宋_GB2312" w:hAnsi="方正仿宋_GB2312" w:eastAsia="方正仿宋_GB2312" w:cs="方正仿宋_GB2312"/>
          <w:color w:val="000000" w:themeColor="text1"/>
          <w:sz w:val="32"/>
          <w:szCs w:val="32"/>
          <w:shd w:val="clear" w:color="auto" w:fill="FFFFFF"/>
          <w:lang w:eastAsia="zh-CN"/>
          <w14:textFill>
            <w14:solidFill>
              <w14:schemeClr w14:val="tx1"/>
            </w14:solidFill>
          </w14:textFill>
        </w:rPr>
        <w:t>，</w:t>
      </w:r>
      <w:r>
        <w:rPr>
          <w:rFonts w:hint="eastAsia" w:ascii="方正仿宋_GB2312" w:hAnsi="方正仿宋_GB2312" w:eastAsia="方正仿宋_GB2312" w:cs="方正仿宋_GB2312"/>
          <w:i w:val="0"/>
          <w:iCs w:val="0"/>
          <w:caps w:val="0"/>
          <w:color w:val="000000" w:themeColor="text1"/>
          <w:spacing w:val="0"/>
          <w:sz w:val="32"/>
          <w:szCs w:val="32"/>
          <w:shd w:val="clear" w:fill="FFFFFF"/>
          <w14:textFill>
            <w14:solidFill>
              <w14:schemeClr w14:val="tx1"/>
            </w14:solidFill>
          </w14:textFill>
        </w:rPr>
        <w:t>通过监督电话、网站纠错和购买第三方服务对网站实施24小时监测等形式拓展监督渠道，及时发现和纠正工作中存在的问题，</w:t>
      </w:r>
      <w:r>
        <w:rPr>
          <w:rFonts w:hint="eastAsia" w:ascii="方正仿宋_GB2312" w:hAnsi="方正仿宋_GB2312" w:eastAsia="方正仿宋_GB2312" w:cs="方正仿宋_GB2312"/>
          <w:color w:val="000000" w:themeColor="text1"/>
          <w:sz w:val="32"/>
          <w:szCs w:val="32"/>
          <w:shd w:val="clear" w:color="auto" w:fill="FFFFFF"/>
          <w14:textFill>
            <w14:solidFill>
              <w14:schemeClr w14:val="tx1"/>
            </w14:solidFill>
          </w14:textFill>
        </w:rPr>
        <w:t>确保两江新区政府信息公开的及时性、有效性、规范性。</w:t>
      </w:r>
    </w:p>
    <w:p>
      <w:pPr>
        <w:ind w:firstLine="640" w:firstLineChars="200"/>
        <w:rPr>
          <w:rFonts w:ascii="方正黑体_GBK" w:hAnsi="方正黑体_GBK" w:eastAsia="方正黑体_GBK" w:cs="方正黑体_GBK"/>
          <w:color w:val="000000" w:themeColor="text1"/>
          <w:sz w:val="32"/>
          <w:szCs w:val="32"/>
          <w14:textFill>
            <w14:solidFill>
              <w14:schemeClr w14:val="tx1"/>
            </w14:solidFill>
          </w14:textFill>
        </w:rPr>
      </w:pPr>
      <w:r>
        <w:rPr>
          <w:rFonts w:hint="eastAsia" w:ascii="方正黑体_GBK" w:hAnsi="方正黑体_GBK" w:eastAsia="方正黑体_GBK" w:cs="方正黑体_GBK"/>
          <w:color w:val="000000" w:themeColor="text1"/>
          <w:sz w:val="32"/>
          <w:szCs w:val="32"/>
          <w14:textFill>
            <w14:solidFill>
              <w14:schemeClr w14:val="tx1"/>
            </w14:solidFill>
          </w14:textFill>
        </w:rPr>
        <w:t>二、主动公开政府信息情况</w:t>
      </w:r>
    </w:p>
    <w:tbl>
      <w:tblPr>
        <w:tblStyle w:val="6"/>
        <w:tblW w:w="97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2435"/>
        <w:gridCol w:w="2435"/>
        <w:gridCol w:w="2435"/>
        <w:gridCol w:w="24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9740" w:type="dxa"/>
            <w:gridSpan w:val="4"/>
            <w:shd w:val="clear" w:color="auto" w:fill="FFFFFF" w:themeFill="background1"/>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第二十条第（一）项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hemeFill="background1"/>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信息内容</w:t>
            </w:r>
          </w:p>
        </w:tc>
        <w:tc>
          <w:tcPr>
            <w:tcW w:w="2435" w:type="dxa"/>
            <w:shd w:val="clear" w:color="auto" w:fill="auto"/>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本年制发件数</w:t>
            </w:r>
          </w:p>
        </w:tc>
        <w:tc>
          <w:tcPr>
            <w:tcW w:w="2435" w:type="dxa"/>
            <w:shd w:val="clear" w:color="auto" w:fill="auto"/>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本年废止件数</w:t>
            </w:r>
          </w:p>
        </w:tc>
        <w:tc>
          <w:tcPr>
            <w:tcW w:w="2435" w:type="dxa"/>
            <w:shd w:val="clear" w:color="auto" w:fill="auto"/>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现行有效件数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hemeFill="background1"/>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规章</w:t>
            </w:r>
          </w:p>
        </w:tc>
        <w:tc>
          <w:tcPr>
            <w:tcW w:w="2435" w:type="dxa"/>
            <w:shd w:val="clear" w:color="auto" w:fill="auto"/>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0</w:t>
            </w:r>
          </w:p>
        </w:tc>
        <w:tc>
          <w:tcPr>
            <w:tcW w:w="2435" w:type="dxa"/>
            <w:shd w:val="clear" w:color="auto" w:fill="auto"/>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0</w:t>
            </w:r>
          </w:p>
        </w:tc>
        <w:tc>
          <w:tcPr>
            <w:tcW w:w="2435" w:type="dxa"/>
            <w:shd w:val="clear" w:color="auto" w:fill="auto"/>
            <w:tcMar>
              <w:left w:w="57" w:type="dxa"/>
              <w:right w:w="57" w:type="dxa"/>
            </w:tcMar>
            <w:vAlign w:val="center"/>
          </w:tcPr>
          <w:p>
            <w:pPr>
              <w:widowControl/>
              <w:jc w:val="left"/>
              <w:rPr>
                <w:color w:val="000000" w:themeColor="text1"/>
                <w14:textFill>
                  <w14:solidFill>
                    <w14:schemeClr w14:val="tx1"/>
                  </w14:solidFill>
                </w14:textFill>
              </w:rPr>
            </w:pPr>
            <w:r>
              <w:rPr>
                <w:rFonts w:hint="eastAsia" w:cs="Calibri"/>
                <w:color w:val="000000" w:themeColor="text1"/>
                <w:kern w:val="0"/>
                <w:szCs w:val="21"/>
                <w:lang w:bidi="ar"/>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hemeFill="background1"/>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行政规范性文件</w:t>
            </w:r>
          </w:p>
        </w:tc>
        <w:tc>
          <w:tcPr>
            <w:tcW w:w="2435" w:type="dxa"/>
            <w:shd w:val="clear" w:color="auto" w:fill="auto"/>
            <w:tcMar>
              <w:left w:w="57" w:type="dxa"/>
              <w:right w:w="57" w:type="dxa"/>
            </w:tcMar>
            <w:vAlign w:val="center"/>
          </w:tcPr>
          <w:p>
            <w:pPr>
              <w:widowControl/>
              <w:jc w:val="left"/>
              <w:rPr>
                <w:rFonts w:hint="eastAsia" w:eastAsiaTheme="minorEastAsia"/>
                <w:color w:val="000000" w:themeColor="text1"/>
                <w:highlight w:val="yellow"/>
                <w:lang w:eastAsia="zh-CN"/>
                <w14:textFill>
                  <w14:solidFill>
                    <w14:schemeClr w14:val="tx1"/>
                  </w14:solidFill>
                </w14:textFill>
              </w:rPr>
            </w:pPr>
            <w:r>
              <w:rPr>
                <w:rFonts w:hint="eastAsia" w:eastAsia="宋体" w:cs="宋体"/>
                <w:color w:val="000000" w:themeColor="text1"/>
                <w:kern w:val="0"/>
                <w:sz w:val="20"/>
                <w:highlight w:val="yellow"/>
                <w:lang w:val="en-US" w:eastAsia="zh-CN" w:bidi="ar"/>
                <w14:textFill>
                  <w14:solidFill>
                    <w14:schemeClr w14:val="tx1"/>
                  </w14:solidFill>
                </w14:textFill>
              </w:rPr>
              <w:t>5</w:t>
            </w:r>
          </w:p>
        </w:tc>
        <w:tc>
          <w:tcPr>
            <w:tcW w:w="2435" w:type="dxa"/>
            <w:shd w:val="clear" w:color="auto" w:fill="auto"/>
            <w:tcMar>
              <w:left w:w="57" w:type="dxa"/>
              <w:right w:w="57" w:type="dxa"/>
            </w:tcMar>
            <w:vAlign w:val="center"/>
          </w:tcPr>
          <w:p>
            <w:pPr>
              <w:widowControl/>
              <w:jc w:val="left"/>
              <w:rPr>
                <w:rFonts w:hint="default" w:eastAsiaTheme="minorEastAsia"/>
                <w:color w:val="000000" w:themeColor="text1"/>
                <w:highlight w:val="yellow"/>
                <w:lang w:val="en-US" w:eastAsia="zh-CN"/>
                <w14:textFill>
                  <w14:solidFill>
                    <w14:schemeClr w14:val="tx1"/>
                  </w14:solidFill>
                </w14:textFill>
              </w:rPr>
            </w:pPr>
            <w:r>
              <w:rPr>
                <w:rFonts w:hint="eastAsia" w:eastAsia="宋体" w:cs="宋体"/>
                <w:color w:val="000000" w:themeColor="text1"/>
                <w:kern w:val="0"/>
                <w:sz w:val="20"/>
                <w:highlight w:val="yellow"/>
                <w:lang w:val="en-US" w:eastAsia="zh-CN" w:bidi="ar"/>
                <w14:textFill>
                  <w14:solidFill>
                    <w14:schemeClr w14:val="tx1"/>
                  </w14:solidFill>
                </w14:textFill>
              </w:rPr>
              <w:t>12</w:t>
            </w:r>
          </w:p>
        </w:tc>
        <w:tc>
          <w:tcPr>
            <w:tcW w:w="2435" w:type="dxa"/>
            <w:shd w:val="clear" w:color="auto" w:fill="auto"/>
            <w:tcMar>
              <w:left w:w="57" w:type="dxa"/>
              <w:right w:w="57" w:type="dxa"/>
            </w:tcMar>
            <w:vAlign w:val="center"/>
          </w:tcPr>
          <w:p>
            <w:pPr>
              <w:widowControl/>
              <w:jc w:val="left"/>
              <w:rPr>
                <w:rFonts w:hint="default" w:eastAsiaTheme="minorEastAsia"/>
                <w:color w:val="000000" w:themeColor="text1"/>
                <w:highlight w:val="yellow"/>
                <w:lang w:val="en-US" w:eastAsia="zh-CN"/>
                <w14:textFill>
                  <w14:solidFill>
                    <w14:schemeClr w14:val="tx1"/>
                  </w14:solidFill>
                </w14:textFill>
              </w:rPr>
            </w:pPr>
            <w:r>
              <w:rPr>
                <w:rFonts w:hint="eastAsia" w:cs="Calibri"/>
                <w:color w:val="000000" w:themeColor="text1"/>
                <w:kern w:val="0"/>
                <w:szCs w:val="21"/>
                <w:highlight w:val="yellow"/>
                <w:lang w:val="en-US" w:eastAsia="zh-CN" w:bidi="ar"/>
                <w14:textFill>
                  <w14:solidFill>
                    <w14:schemeClr w14:val="tx1"/>
                  </w14:solidFill>
                </w14:textFill>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9740" w:type="dxa"/>
            <w:gridSpan w:val="4"/>
            <w:shd w:val="clear" w:color="auto" w:fill="FFFFFF" w:themeFill="background1"/>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第二十条第（五）项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hemeFill="background1"/>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信息内容</w:t>
            </w:r>
          </w:p>
        </w:tc>
        <w:tc>
          <w:tcPr>
            <w:tcW w:w="7305" w:type="dxa"/>
            <w:gridSpan w:val="3"/>
            <w:shd w:val="clear" w:color="auto" w:fill="FFFFFF" w:themeFill="background1"/>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本年处理决定数量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hemeFill="background1"/>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行政许可</w:t>
            </w:r>
          </w:p>
        </w:tc>
        <w:tc>
          <w:tcPr>
            <w:tcW w:w="7305" w:type="dxa"/>
            <w:gridSpan w:val="3"/>
            <w:shd w:val="clear" w:color="auto" w:fill="FFFFFF" w:themeFill="background1"/>
            <w:tcMar>
              <w:left w:w="57" w:type="dxa"/>
              <w:right w:w="57" w:type="dxa"/>
            </w:tcMar>
            <w:vAlign w:val="center"/>
          </w:tcPr>
          <w:p>
            <w:pPr>
              <w:widowControl/>
              <w:jc w:val="left"/>
              <w:rPr>
                <w:color w:val="000000" w:themeColor="text1"/>
                <w14:textFill>
                  <w14:solidFill>
                    <w14:schemeClr w14:val="tx1"/>
                  </w14:solidFill>
                </w14:textFill>
              </w:rPr>
            </w:pPr>
            <w:r>
              <w:rPr>
                <w:rFonts w:hint="eastAsia" w:cs="Calibri"/>
                <w:color w:val="000000" w:themeColor="text1"/>
                <w:kern w:val="0"/>
                <w:szCs w:val="21"/>
                <w:lang w:bidi="ar"/>
                <w14:textFill>
                  <w14:solidFill>
                    <w14:schemeClr w14:val="tx1"/>
                  </w14:solidFill>
                </w14:textFill>
              </w:rPr>
              <w:t>263692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9740" w:type="dxa"/>
            <w:gridSpan w:val="4"/>
            <w:shd w:val="clear" w:color="auto" w:fill="FFFFFF" w:themeFill="background1"/>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第二十条第（六）项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hemeFill="background1"/>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信息内容</w:t>
            </w:r>
          </w:p>
        </w:tc>
        <w:tc>
          <w:tcPr>
            <w:tcW w:w="7305" w:type="dxa"/>
            <w:gridSpan w:val="3"/>
            <w:shd w:val="clear" w:color="auto" w:fill="FFFFFF" w:themeFill="background1"/>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本年处理决定数量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hemeFill="background1"/>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行政处罚</w:t>
            </w:r>
          </w:p>
        </w:tc>
        <w:tc>
          <w:tcPr>
            <w:tcW w:w="7305" w:type="dxa"/>
            <w:gridSpan w:val="3"/>
            <w:shd w:val="clear" w:color="auto" w:fill="FFFFFF" w:themeFill="background1"/>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927612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hemeFill="background1"/>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行政强制</w:t>
            </w:r>
          </w:p>
        </w:tc>
        <w:tc>
          <w:tcPr>
            <w:tcW w:w="7305" w:type="dxa"/>
            <w:gridSpan w:val="3"/>
            <w:shd w:val="clear" w:color="auto" w:fill="FFFFFF" w:themeFill="background1"/>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6135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9740" w:type="dxa"/>
            <w:gridSpan w:val="4"/>
            <w:shd w:val="clear" w:color="auto" w:fill="FFFFFF" w:themeFill="background1"/>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第二十条第（八）项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hemeFill="background1"/>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信息内容</w:t>
            </w:r>
          </w:p>
        </w:tc>
        <w:tc>
          <w:tcPr>
            <w:tcW w:w="7305" w:type="dxa"/>
            <w:gridSpan w:val="3"/>
            <w:shd w:val="clear" w:color="auto" w:fill="FFFFFF" w:themeFill="background1"/>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本年收费金额（单位：万元）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hemeFill="background1"/>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行政事业性收费</w:t>
            </w:r>
          </w:p>
        </w:tc>
        <w:tc>
          <w:tcPr>
            <w:tcW w:w="7305" w:type="dxa"/>
            <w:gridSpan w:val="3"/>
            <w:shd w:val="clear" w:color="auto" w:fill="FFFFFF" w:themeFill="background1"/>
            <w:tcMar>
              <w:left w:w="57" w:type="dxa"/>
              <w:right w:w="57" w:type="dxa"/>
            </w:tcMar>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3169.5432</w:t>
            </w:r>
          </w:p>
        </w:tc>
      </w:tr>
    </w:tbl>
    <w:p>
      <w:pPr>
        <w:ind w:firstLine="640" w:firstLineChars="200"/>
        <w:rPr>
          <w:rFonts w:ascii="方正黑体_GBK" w:hAnsi="方正黑体_GBK" w:eastAsia="方正黑体_GBK" w:cs="方正黑体_GBK"/>
          <w:color w:val="000000" w:themeColor="text1"/>
          <w:sz w:val="32"/>
          <w:szCs w:val="32"/>
          <w14:textFill>
            <w14:solidFill>
              <w14:schemeClr w14:val="tx1"/>
            </w14:solidFill>
          </w14:textFill>
        </w:rPr>
      </w:pPr>
      <w:r>
        <w:rPr>
          <w:rFonts w:hint="eastAsia" w:ascii="方正黑体_GBK" w:hAnsi="方正黑体_GBK" w:eastAsia="方正黑体_GBK" w:cs="方正黑体_GBK"/>
          <w:color w:val="000000" w:themeColor="text1"/>
          <w:sz w:val="32"/>
          <w:szCs w:val="32"/>
          <w14:textFill>
            <w14:solidFill>
              <w14:schemeClr w14:val="tx1"/>
            </w14:solidFill>
          </w14:textFill>
        </w:rPr>
        <w:t>三、收到和处理政府信息公开申请情况</w:t>
      </w:r>
    </w:p>
    <w:tbl>
      <w:tblPr>
        <w:tblStyle w:val="6"/>
        <w:tblW w:w="97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769"/>
        <w:gridCol w:w="943"/>
        <w:gridCol w:w="3220"/>
        <w:gridCol w:w="688"/>
        <w:gridCol w:w="688"/>
        <w:gridCol w:w="688"/>
        <w:gridCol w:w="688"/>
        <w:gridCol w:w="688"/>
        <w:gridCol w:w="688"/>
        <w:gridCol w:w="6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932" w:type="dxa"/>
            <w:gridSpan w:val="3"/>
            <w:vMerge w:val="restart"/>
            <w:shd w:val="clear" w:color="auto" w:fill="auto"/>
            <w:tcMar>
              <w:left w:w="108" w:type="dxa"/>
              <w:right w:w="108" w:type="dxa"/>
            </w:tcMar>
            <w:vAlign w:val="center"/>
          </w:tcPr>
          <w:p>
            <w:pPr>
              <w:widowControl/>
              <w:jc w:val="left"/>
              <w:rPr>
                <w:color w:val="000000" w:themeColor="text1"/>
                <w14:textFill>
                  <w14:solidFill>
                    <w14:schemeClr w14:val="tx1"/>
                  </w14:solidFill>
                </w14:textFill>
              </w:rPr>
            </w:pPr>
            <w:r>
              <w:rPr>
                <w:rFonts w:eastAsia="楷体" w:cs="楷体"/>
                <w:color w:val="000000" w:themeColor="text1"/>
                <w:kern w:val="0"/>
                <w:sz w:val="20"/>
                <w:lang w:bidi="ar"/>
                <w14:textFill>
                  <w14:solidFill>
                    <w14:schemeClr w14:val="tx1"/>
                  </w14:solidFill>
                </w14:textFill>
              </w:rPr>
              <w:t>（本列数据的勾稽关系为：第一项加第二项之和，等于第三项加第四项之和）</w:t>
            </w:r>
          </w:p>
        </w:tc>
        <w:tc>
          <w:tcPr>
            <w:tcW w:w="4816" w:type="dxa"/>
            <w:gridSpan w:val="7"/>
            <w:shd w:val="clear" w:color="auto" w:fill="auto"/>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申请人情况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932" w:type="dxa"/>
            <w:gridSpan w:val="3"/>
            <w:vMerge w:val="continue"/>
            <w:shd w:val="clear" w:color="auto" w:fill="auto"/>
            <w:tcMar>
              <w:left w:w="108" w:type="dxa"/>
              <w:right w:w="108" w:type="dxa"/>
            </w:tcMar>
            <w:vAlign w:val="center"/>
          </w:tcPr>
          <w:p>
            <w:pPr>
              <w:rPr>
                <w:color w:val="000000" w:themeColor="text1"/>
                <w:sz w:val="24"/>
                <w:szCs w:val="24"/>
                <w14:textFill>
                  <w14:solidFill>
                    <w14:schemeClr w14:val="tx1"/>
                  </w14:solidFill>
                </w14:textFill>
              </w:rPr>
            </w:pPr>
          </w:p>
        </w:tc>
        <w:tc>
          <w:tcPr>
            <w:tcW w:w="688" w:type="dxa"/>
            <w:vMerge w:val="restart"/>
            <w:shd w:val="clear" w:color="auto" w:fill="auto"/>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自然人</w:t>
            </w:r>
          </w:p>
        </w:tc>
        <w:tc>
          <w:tcPr>
            <w:tcW w:w="3440" w:type="dxa"/>
            <w:gridSpan w:val="5"/>
            <w:shd w:val="clear" w:color="auto" w:fill="auto"/>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法人或其他组织</w:t>
            </w:r>
          </w:p>
        </w:tc>
        <w:tc>
          <w:tcPr>
            <w:tcW w:w="688" w:type="dxa"/>
            <w:vMerge w:val="restart"/>
            <w:shd w:val="clear" w:color="auto" w:fill="auto"/>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总计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932" w:type="dxa"/>
            <w:gridSpan w:val="3"/>
            <w:vMerge w:val="continue"/>
            <w:shd w:val="clear" w:color="auto" w:fill="auto"/>
            <w:tcMar>
              <w:left w:w="108" w:type="dxa"/>
              <w:right w:w="108" w:type="dxa"/>
            </w:tcMar>
            <w:vAlign w:val="center"/>
          </w:tcPr>
          <w:p>
            <w:pPr>
              <w:rPr>
                <w:color w:val="000000" w:themeColor="text1"/>
                <w:sz w:val="24"/>
                <w:szCs w:val="24"/>
                <w14:textFill>
                  <w14:solidFill>
                    <w14:schemeClr w14:val="tx1"/>
                  </w14:solidFill>
                </w14:textFill>
              </w:rPr>
            </w:pPr>
          </w:p>
        </w:tc>
        <w:tc>
          <w:tcPr>
            <w:tcW w:w="688"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688" w:type="dxa"/>
            <w:shd w:val="clear" w:color="auto" w:fill="auto"/>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商业</w:t>
            </w:r>
          </w:p>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企业</w:t>
            </w:r>
          </w:p>
        </w:tc>
        <w:tc>
          <w:tcPr>
            <w:tcW w:w="688" w:type="dxa"/>
            <w:shd w:val="clear" w:color="auto" w:fill="auto"/>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科研</w:t>
            </w:r>
          </w:p>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机构</w:t>
            </w:r>
          </w:p>
        </w:tc>
        <w:tc>
          <w:tcPr>
            <w:tcW w:w="688" w:type="dxa"/>
            <w:shd w:val="clear" w:color="auto" w:fill="auto"/>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社会公益组织</w:t>
            </w:r>
          </w:p>
        </w:tc>
        <w:tc>
          <w:tcPr>
            <w:tcW w:w="688" w:type="dxa"/>
            <w:shd w:val="clear" w:color="auto" w:fill="auto"/>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法律服务机构</w:t>
            </w:r>
          </w:p>
        </w:tc>
        <w:tc>
          <w:tcPr>
            <w:tcW w:w="688" w:type="dxa"/>
            <w:shd w:val="clear" w:color="auto" w:fill="auto"/>
            <w:tcMar>
              <w:left w:w="57" w:type="dxa"/>
              <w:right w:w="57"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其他</w:t>
            </w:r>
          </w:p>
        </w:tc>
        <w:tc>
          <w:tcPr>
            <w:tcW w:w="688"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932" w:type="dxa"/>
            <w:gridSpan w:val="3"/>
            <w:shd w:val="clear" w:color="auto" w:fill="auto"/>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一、本年新收政府信息公开申请数量</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271</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5</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932" w:type="dxa"/>
            <w:gridSpan w:val="3"/>
            <w:shd w:val="clear" w:color="auto" w:fill="auto"/>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二、上年结转政府信息公开申请数量</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3</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restart"/>
            <w:shd w:val="clear" w:color="auto" w:fill="auto"/>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三、本年度办理结果</w:t>
            </w:r>
          </w:p>
        </w:tc>
        <w:tc>
          <w:tcPr>
            <w:tcW w:w="4163" w:type="dxa"/>
            <w:gridSpan w:val="2"/>
            <w:shd w:val="clear" w:color="auto" w:fill="auto"/>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（一）予以公开</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153</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5</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4163" w:type="dxa"/>
            <w:gridSpan w:val="2"/>
            <w:shd w:val="clear" w:color="auto" w:fill="auto"/>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（二）部分公开</w:t>
            </w:r>
            <w:r>
              <w:rPr>
                <w:rFonts w:eastAsia="楷体" w:cs="楷体"/>
                <w:color w:val="000000" w:themeColor="text1"/>
                <w:kern w:val="0"/>
                <w:sz w:val="20"/>
                <w:lang w:bidi="ar"/>
                <w14:textFill>
                  <w14:solidFill>
                    <w14:schemeClr w14:val="tx1"/>
                  </w14:solidFill>
                </w14:textFill>
              </w:rPr>
              <w:t>（区分处理的，只计这一情形，不计其他情形）</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26</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restart"/>
            <w:shd w:val="clear" w:color="auto" w:fill="auto"/>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（三）不予公开</w:t>
            </w:r>
          </w:p>
        </w:tc>
        <w:tc>
          <w:tcPr>
            <w:tcW w:w="3220" w:type="dxa"/>
            <w:shd w:val="clear" w:color="auto" w:fill="auto"/>
            <w:tcMar>
              <w:left w:w="57" w:type="dxa"/>
              <w:right w:w="57" w:type="dxa"/>
            </w:tcMa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1.属于国家秘密</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3220" w:type="dxa"/>
            <w:shd w:val="clear" w:color="auto" w:fill="auto"/>
            <w:tcMar>
              <w:left w:w="57" w:type="dxa"/>
              <w:right w:w="57" w:type="dxa"/>
            </w:tcMa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2.其他法律行政法规禁止公开</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1</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3220" w:type="dxa"/>
            <w:shd w:val="clear" w:color="auto" w:fill="auto"/>
            <w:tcMar>
              <w:left w:w="57" w:type="dxa"/>
              <w:right w:w="57" w:type="dxa"/>
            </w:tcMa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3.危及“三安全一稳定”</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3220" w:type="dxa"/>
            <w:shd w:val="clear" w:color="auto" w:fill="auto"/>
            <w:tcMar>
              <w:left w:w="57" w:type="dxa"/>
              <w:right w:w="57" w:type="dxa"/>
            </w:tcMa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4.保护第三方合法权益</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3</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3220" w:type="dxa"/>
            <w:shd w:val="clear" w:color="auto" w:fill="auto"/>
            <w:tcMar>
              <w:left w:w="57" w:type="dxa"/>
              <w:right w:w="57" w:type="dxa"/>
            </w:tcMa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5.属于三类内部事务信息</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3220" w:type="dxa"/>
            <w:shd w:val="clear" w:color="auto" w:fill="auto"/>
            <w:tcMar>
              <w:left w:w="57" w:type="dxa"/>
              <w:right w:w="57" w:type="dxa"/>
            </w:tcMa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6.属于四类过程性信息</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1</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3220" w:type="dxa"/>
            <w:shd w:val="clear" w:color="auto" w:fill="auto"/>
            <w:tcMar>
              <w:left w:w="57" w:type="dxa"/>
              <w:right w:w="57" w:type="dxa"/>
            </w:tcMa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7.属于行政执法案卷</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6</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3220" w:type="dxa"/>
            <w:shd w:val="clear" w:color="auto" w:fill="auto"/>
            <w:tcMar>
              <w:left w:w="57" w:type="dxa"/>
              <w:right w:w="57" w:type="dxa"/>
            </w:tcMa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8.属于行政查询事项</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1</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restart"/>
            <w:shd w:val="clear" w:color="auto" w:fill="auto"/>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（四）无法提供</w:t>
            </w:r>
          </w:p>
        </w:tc>
        <w:tc>
          <w:tcPr>
            <w:tcW w:w="3220" w:type="dxa"/>
            <w:shd w:val="clear" w:color="auto" w:fill="auto"/>
            <w:tcMar>
              <w:left w:w="57" w:type="dxa"/>
              <w:right w:w="57" w:type="dxa"/>
            </w:tcMa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1.本机关不掌握相关政府信息</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65</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3220" w:type="dxa"/>
            <w:shd w:val="clear" w:color="auto" w:fill="auto"/>
            <w:tcMar>
              <w:left w:w="57" w:type="dxa"/>
              <w:right w:w="57" w:type="dxa"/>
            </w:tcMa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2.没有现成信息需要另行制作</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3</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3220" w:type="dxa"/>
            <w:shd w:val="clear" w:color="auto" w:fill="auto"/>
            <w:tcMar>
              <w:left w:w="57" w:type="dxa"/>
              <w:right w:w="57" w:type="dxa"/>
            </w:tcMa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3.补正后申请内容仍不明确</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1</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restart"/>
            <w:shd w:val="clear" w:color="auto" w:fill="auto"/>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（五）不予处理</w:t>
            </w:r>
          </w:p>
        </w:tc>
        <w:tc>
          <w:tcPr>
            <w:tcW w:w="3220" w:type="dxa"/>
            <w:shd w:val="clear" w:color="auto" w:fill="auto"/>
            <w:tcMar>
              <w:left w:w="57" w:type="dxa"/>
              <w:right w:w="57" w:type="dxa"/>
            </w:tcMa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1.信访举报投诉类申请</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3220" w:type="dxa"/>
            <w:shd w:val="clear" w:color="auto" w:fill="auto"/>
            <w:tcMar>
              <w:left w:w="57" w:type="dxa"/>
              <w:right w:w="57" w:type="dxa"/>
            </w:tcMa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2.重复申请</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3220" w:type="dxa"/>
            <w:shd w:val="clear" w:color="auto" w:fill="auto"/>
            <w:tcMar>
              <w:left w:w="57" w:type="dxa"/>
              <w:right w:w="57" w:type="dxa"/>
            </w:tcMa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3.要求提供公开出版物</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3220" w:type="dxa"/>
            <w:shd w:val="clear" w:color="auto" w:fill="auto"/>
            <w:tcMar>
              <w:left w:w="57" w:type="dxa"/>
              <w:right w:w="57" w:type="dxa"/>
            </w:tcMa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4.无正当理由大量反复申请</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9" w:hRule="atLeast"/>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3220" w:type="dxa"/>
            <w:shd w:val="clear" w:color="auto" w:fill="auto"/>
            <w:tcMar>
              <w:left w:w="57" w:type="dxa"/>
              <w:right w:w="57" w:type="dxa"/>
            </w:tcMar>
            <w:vAlign w:val="center"/>
          </w:tcPr>
          <w:p>
            <w:pPr>
              <w:widowControl/>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5.要求行政机关确认或重新出具已获取信息</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restart"/>
            <w:shd w:val="clear" w:color="auto" w:fill="auto"/>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（六）其他处理</w:t>
            </w:r>
          </w:p>
        </w:tc>
        <w:tc>
          <w:tcPr>
            <w:tcW w:w="3220" w:type="dxa"/>
            <w:shd w:val="clear" w:color="auto" w:fill="auto"/>
            <w:tcMar>
              <w:left w:w="57" w:type="dxa"/>
              <w:right w:w="57" w:type="dxa"/>
            </w:tcMar>
            <w:vAlign w:val="center"/>
          </w:tcPr>
          <w:p>
            <w:pPr>
              <w:widowControl/>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1.申请人无正当理由逾期不补正、行政机关不再处理其政府信息公开申请</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3220" w:type="dxa"/>
            <w:shd w:val="clear" w:color="auto" w:fill="auto"/>
            <w:tcMar>
              <w:left w:w="57" w:type="dxa"/>
              <w:right w:w="57" w:type="dxa"/>
            </w:tcMar>
            <w:vAlign w:val="center"/>
          </w:tcPr>
          <w:p>
            <w:pPr>
              <w:widowControl/>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2.申请人逾期未按收费通知要求缴纳费用、行政机关不再处理其政府信息公开申请</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943"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3220" w:type="dxa"/>
            <w:shd w:val="clear" w:color="auto" w:fill="auto"/>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3.其他</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1</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9" w:type="dxa"/>
            <w:vMerge w:val="continue"/>
            <w:shd w:val="clear" w:color="auto" w:fill="auto"/>
            <w:tcMar>
              <w:left w:w="57" w:type="dxa"/>
              <w:right w:w="57" w:type="dxa"/>
            </w:tcMar>
            <w:vAlign w:val="center"/>
          </w:tcPr>
          <w:p>
            <w:pPr>
              <w:rPr>
                <w:color w:val="000000" w:themeColor="text1"/>
                <w:sz w:val="24"/>
                <w:szCs w:val="24"/>
                <w14:textFill>
                  <w14:solidFill>
                    <w14:schemeClr w14:val="tx1"/>
                  </w14:solidFill>
                </w14:textFill>
              </w:rPr>
            </w:pPr>
          </w:p>
        </w:tc>
        <w:tc>
          <w:tcPr>
            <w:tcW w:w="4163" w:type="dxa"/>
            <w:gridSpan w:val="2"/>
            <w:shd w:val="clear" w:color="auto" w:fill="auto"/>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（七）总计</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267</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5</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932" w:type="dxa"/>
            <w:gridSpan w:val="3"/>
            <w:shd w:val="clear" w:color="auto" w:fill="auto"/>
            <w:tcMar>
              <w:left w:w="57" w:type="dxa"/>
              <w:right w:w="57" w:type="dxa"/>
            </w:tcMar>
            <w:vAlign w:val="center"/>
          </w:tcPr>
          <w:p>
            <w:pPr>
              <w:widowControl/>
              <w:jc w:val="left"/>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四、结转下年度继续办理</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7</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88" w:type="dxa"/>
            <w:shd w:val="clear" w:color="auto" w:fill="auto"/>
            <w:tcMar>
              <w:left w:w="57" w:type="dxa"/>
              <w:right w:w="57"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7</w:t>
            </w:r>
          </w:p>
        </w:tc>
      </w:tr>
    </w:tbl>
    <w:p>
      <w:pPr>
        <w:ind w:firstLine="640" w:firstLineChars="200"/>
        <w:rPr>
          <w:rFonts w:ascii="方正黑体_GBK" w:hAnsi="方正黑体_GBK" w:eastAsia="方正黑体_GBK" w:cs="方正黑体_GBK"/>
          <w:color w:val="000000" w:themeColor="text1"/>
          <w:sz w:val="32"/>
          <w:szCs w:val="32"/>
          <w14:textFill>
            <w14:solidFill>
              <w14:schemeClr w14:val="tx1"/>
            </w14:solidFill>
          </w14:textFill>
        </w:rPr>
      </w:pPr>
      <w:r>
        <w:rPr>
          <w:rFonts w:hint="eastAsia" w:ascii="方正黑体_GBK" w:hAnsi="方正黑体_GBK" w:eastAsia="方正黑体_GBK" w:cs="方正黑体_GBK"/>
          <w:color w:val="000000" w:themeColor="text1"/>
          <w:sz w:val="32"/>
          <w:szCs w:val="32"/>
          <w14:textFill>
            <w14:solidFill>
              <w14:schemeClr w14:val="tx1"/>
            </w14:solidFill>
          </w14:textFill>
        </w:rPr>
        <w:t>四、政府信息公开行政复议、行政诉讼情况</w:t>
      </w:r>
    </w:p>
    <w:tbl>
      <w:tblPr>
        <w:tblStyle w:val="6"/>
        <w:tblW w:w="97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50"/>
        <w:gridCol w:w="650"/>
        <w:gridCol w:w="650"/>
        <w:gridCol w:w="650"/>
        <w:gridCol w:w="650"/>
        <w:gridCol w:w="649"/>
        <w:gridCol w:w="649"/>
        <w:gridCol w:w="650"/>
        <w:gridCol w:w="650"/>
        <w:gridCol w:w="650"/>
        <w:gridCol w:w="650"/>
        <w:gridCol w:w="650"/>
        <w:gridCol w:w="650"/>
        <w:gridCol w:w="650"/>
        <w:gridCol w:w="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3250" w:type="dxa"/>
            <w:gridSpan w:val="5"/>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行政复议</w:t>
            </w:r>
          </w:p>
        </w:tc>
        <w:tc>
          <w:tcPr>
            <w:tcW w:w="6498" w:type="dxa"/>
            <w:gridSpan w:val="10"/>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行政诉讼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50" w:type="dxa"/>
            <w:vMerge w:val="restart"/>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结果维持</w:t>
            </w:r>
          </w:p>
        </w:tc>
        <w:tc>
          <w:tcPr>
            <w:tcW w:w="650" w:type="dxa"/>
            <w:vMerge w:val="restart"/>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结果</w:t>
            </w:r>
            <w:r>
              <w:rPr>
                <w:rFonts w:hint="eastAsia" w:eastAsia="宋体" w:cs="宋体"/>
                <w:color w:val="000000" w:themeColor="text1"/>
                <w:kern w:val="0"/>
                <w:sz w:val="20"/>
                <w:lang w:bidi="ar"/>
                <w14:textFill>
                  <w14:solidFill>
                    <w14:schemeClr w14:val="tx1"/>
                  </w14:solidFill>
                </w14:textFill>
              </w:rPr>
              <w:br w:type="textWrapping"/>
            </w:r>
            <w:r>
              <w:rPr>
                <w:rFonts w:hint="eastAsia" w:eastAsia="宋体" w:cs="宋体"/>
                <w:color w:val="000000" w:themeColor="text1"/>
                <w:kern w:val="0"/>
                <w:sz w:val="20"/>
                <w:lang w:bidi="ar"/>
                <w14:textFill>
                  <w14:solidFill>
                    <w14:schemeClr w14:val="tx1"/>
                  </w14:solidFill>
                </w14:textFill>
              </w:rPr>
              <w:t>纠正</w:t>
            </w:r>
          </w:p>
        </w:tc>
        <w:tc>
          <w:tcPr>
            <w:tcW w:w="650" w:type="dxa"/>
            <w:vMerge w:val="restart"/>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其他</w:t>
            </w:r>
            <w:r>
              <w:rPr>
                <w:rFonts w:hint="eastAsia" w:eastAsia="宋体" w:cs="宋体"/>
                <w:color w:val="000000" w:themeColor="text1"/>
                <w:kern w:val="0"/>
                <w:sz w:val="20"/>
                <w:lang w:bidi="ar"/>
                <w14:textFill>
                  <w14:solidFill>
                    <w14:schemeClr w14:val="tx1"/>
                  </w14:solidFill>
                </w14:textFill>
              </w:rPr>
              <w:br w:type="textWrapping"/>
            </w:r>
            <w:r>
              <w:rPr>
                <w:rFonts w:hint="eastAsia" w:eastAsia="宋体" w:cs="宋体"/>
                <w:color w:val="000000" w:themeColor="text1"/>
                <w:kern w:val="0"/>
                <w:sz w:val="20"/>
                <w:lang w:bidi="ar"/>
                <w14:textFill>
                  <w14:solidFill>
                    <w14:schemeClr w14:val="tx1"/>
                  </w14:solidFill>
                </w14:textFill>
              </w:rPr>
              <w:t>结果</w:t>
            </w:r>
          </w:p>
        </w:tc>
        <w:tc>
          <w:tcPr>
            <w:tcW w:w="650" w:type="dxa"/>
            <w:vMerge w:val="restart"/>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尚未</w:t>
            </w:r>
            <w:r>
              <w:rPr>
                <w:rFonts w:hint="eastAsia" w:eastAsia="宋体" w:cs="宋体"/>
                <w:color w:val="000000" w:themeColor="text1"/>
                <w:kern w:val="0"/>
                <w:sz w:val="20"/>
                <w:lang w:bidi="ar"/>
                <w14:textFill>
                  <w14:solidFill>
                    <w14:schemeClr w14:val="tx1"/>
                  </w14:solidFill>
                </w14:textFill>
              </w:rPr>
              <w:br w:type="textWrapping"/>
            </w:r>
            <w:r>
              <w:rPr>
                <w:rFonts w:hint="eastAsia" w:eastAsia="宋体" w:cs="宋体"/>
                <w:color w:val="000000" w:themeColor="text1"/>
                <w:kern w:val="0"/>
                <w:sz w:val="20"/>
                <w:lang w:bidi="ar"/>
                <w14:textFill>
                  <w14:solidFill>
                    <w14:schemeClr w14:val="tx1"/>
                  </w14:solidFill>
                </w14:textFill>
              </w:rPr>
              <w:t>审结</w:t>
            </w:r>
          </w:p>
        </w:tc>
        <w:tc>
          <w:tcPr>
            <w:tcW w:w="650" w:type="dxa"/>
            <w:vMerge w:val="restart"/>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总计</w:t>
            </w:r>
          </w:p>
        </w:tc>
        <w:tc>
          <w:tcPr>
            <w:tcW w:w="3248" w:type="dxa"/>
            <w:gridSpan w:val="5"/>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未经复议直接起诉</w:t>
            </w:r>
          </w:p>
        </w:tc>
        <w:tc>
          <w:tcPr>
            <w:tcW w:w="3250" w:type="dxa"/>
            <w:gridSpan w:val="5"/>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复议后起诉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50" w:type="dxa"/>
            <w:vMerge w:val="continue"/>
            <w:shd w:val="clear" w:color="auto" w:fill="auto"/>
            <w:tcMar>
              <w:left w:w="108" w:type="dxa"/>
              <w:right w:w="108" w:type="dxa"/>
            </w:tcMar>
            <w:vAlign w:val="center"/>
          </w:tcPr>
          <w:p>
            <w:pPr>
              <w:rPr>
                <w:color w:val="000000" w:themeColor="text1"/>
                <w:sz w:val="24"/>
                <w:szCs w:val="24"/>
                <w14:textFill>
                  <w14:solidFill>
                    <w14:schemeClr w14:val="tx1"/>
                  </w14:solidFill>
                </w14:textFill>
              </w:rPr>
            </w:pPr>
          </w:p>
        </w:tc>
        <w:tc>
          <w:tcPr>
            <w:tcW w:w="650" w:type="dxa"/>
            <w:vMerge w:val="continue"/>
            <w:shd w:val="clear" w:color="auto" w:fill="auto"/>
            <w:tcMar>
              <w:left w:w="108" w:type="dxa"/>
              <w:right w:w="108" w:type="dxa"/>
            </w:tcMar>
            <w:vAlign w:val="center"/>
          </w:tcPr>
          <w:p>
            <w:pPr>
              <w:rPr>
                <w:color w:val="000000" w:themeColor="text1"/>
                <w:sz w:val="24"/>
                <w:szCs w:val="24"/>
                <w14:textFill>
                  <w14:solidFill>
                    <w14:schemeClr w14:val="tx1"/>
                  </w14:solidFill>
                </w14:textFill>
              </w:rPr>
            </w:pPr>
          </w:p>
        </w:tc>
        <w:tc>
          <w:tcPr>
            <w:tcW w:w="650" w:type="dxa"/>
            <w:vMerge w:val="continue"/>
            <w:shd w:val="clear" w:color="auto" w:fill="auto"/>
            <w:tcMar>
              <w:left w:w="108" w:type="dxa"/>
              <w:right w:w="108" w:type="dxa"/>
            </w:tcMar>
            <w:vAlign w:val="center"/>
          </w:tcPr>
          <w:p>
            <w:pPr>
              <w:rPr>
                <w:color w:val="000000" w:themeColor="text1"/>
                <w:sz w:val="24"/>
                <w:szCs w:val="24"/>
                <w14:textFill>
                  <w14:solidFill>
                    <w14:schemeClr w14:val="tx1"/>
                  </w14:solidFill>
                </w14:textFill>
              </w:rPr>
            </w:pPr>
          </w:p>
        </w:tc>
        <w:tc>
          <w:tcPr>
            <w:tcW w:w="650" w:type="dxa"/>
            <w:vMerge w:val="continue"/>
            <w:shd w:val="clear" w:color="auto" w:fill="auto"/>
            <w:tcMar>
              <w:left w:w="108" w:type="dxa"/>
              <w:right w:w="108" w:type="dxa"/>
            </w:tcMar>
            <w:vAlign w:val="center"/>
          </w:tcPr>
          <w:p>
            <w:pPr>
              <w:rPr>
                <w:color w:val="000000" w:themeColor="text1"/>
                <w:sz w:val="24"/>
                <w:szCs w:val="24"/>
                <w14:textFill>
                  <w14:solidFill>
                    <w14:schemeClr w14:val="tx1"/>
                  </w14:solidFill>
                </w14:textFill>
              </w:rPr>
            </w:pPr>
          </w:p>
        </w:tc>
        <w:tc>
          <w:tcPr>
            <w:tcW w:w="650" w:type="dxa"/>
            <w:vMerge w:val="continue"/>
            <w:shd w:val="clear" w:color="auto" w:fill="auto"/>
            <w:tcMar>
              <w:left w:w="108" w:type="dxa"/>
              <w:right w:w="108" w:type="dxa"/>
            </w:tcMar>
            <w:vAlign w:val="center"/>
          </w:tcPr>
          <w:p>
            <w:pPr>
              <w:rPr>
                <w:color w:val="000000" w:themeColor="text1"/>
                <w:sz w:val="24"/>
                <w:szCs w:val="24"/>
                <w14:textFill>
                  <w14:solidFill>
                    <w14:schemeClr w14:val="tx1"/>
                  </w14:solidFill>
                </w14:textFill>
              </w:rPr>
            </w:pPr>
          </w:p>
        </w:tc>
        <w:tc>
          <w:tcPr>
            <w:tcW w:w="649" w:type="dxa"/>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结果</w:t>
            </w:r>
            <w:r>
              <w:rPr>
                <w:rFonts w:hint="eastAsia" w:eastAsia="宋体" w:cs="宋体"/>
                <w:color w:val="000000" w:themeColor="text1"/>
                <w:kern w:val="0"/>
                <w:sz w:val="20"/>
                <w:lang w:bidi="ar"/>
                <w14:textFill>
                  <w14:solidFill>
                    <w14:schemeClr w14:val="tx1"/>
                  </w14:solidFill>
                </w14:textFill>
              </w:rPr>
              <w:br w:type="textWrapping"/>
            </w:r>
            <w:r>
              <w:rPr>
                <w:rFonts w:hint="eastAsia" w:eastAsia="宋体" w:cs="宋体"/>
                <w:color w:val="000000" w:themeColor="text1"/>
                <w:kern w:val="0"/>
                <w:sz w:val="20"/>
                <w:lang w:bidi="ar"/>
                <w14:textFill>
                  <w14:solidFill>
                    <w14:schemeClr w14:val="tx1"/>
                  </w14:solidFill>
                </w14:textFill>
              </w:rPr>
              <w:t>维持</w:t>
            </w:r>
          </w:p>
        </w:tc>
        <w:tc>
          <w:tcPr>
            <w:tcW w:w="649" w:type="dxa"/>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结果</w:t>
            </w:r>
            <w:r>
              <w:rPr>
                <w:rFonts w:hint="eastAsia" w:eastAsia="宋体" w:cs="宋体"/>
                <w:color w:val="000000" w:themeColor="text1"/>
                <w:kern w:val="0"/>
                <w:sz w:val="20"/>
                <w:lang w:bidi="ar"/>
                <w14:textFill>
                  <w14:solidFill>
                    <w14:schemeClr w14:val="tx1"/>
                  </w14:solidFill>
                </w14:textFill>
              </w:rPr>
              <w:br w:type="textWrapping"/>
            </w:r>
            <w:r>
              <w:rPr>
                <w:rFonts w:hint="eastAsia" w:eastAsia="宋体" w:cs="宋体"/>
                <w:color w:val="000000" w:themeColor="text1"/>
                <w:kern w:val="0"/>
                <w:sz w:val="20"/>
                <w:lang w:bidi="ar"/>
                <w14:textFill>
                  <w14:solidFill>
                    <w14:schemeClr w14:val="tx1"/>
                  </w14:solidFill>
                </w14:textFill>
              </w:rPr>
              <w:t>纠正</w:t>
            </w:r>
          </w:p>
        </w:tc>
        <w:tc>
          <w:tcPr>
            <w:tcW w:w="650" w:type="dxa"/>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其他</w:t>
            </w:r>
            <w:r>
              <w:rPr>
                <w:rFonts w:hint="eastAsia" w:eastAsia="宋体" w:cs="宋体"/>
                <w:color w:val="000000" w:themeColor="text1"/>
                <w:kern w:val="0"/>
                <w:sz w:val="20"/>
                <w:lang w:bidi="ar"/>
                <w14:textFill>
                  <w14:solidFill>
                    <w14:schemeClr w14:val="tx1"/>
                  </w14:solidFill>
                </w14:textFill>
              </w:rPr>
              <w:br w:type="textWrapping"/>
            </w:r>
            <w:r>
              <w:rPr>
                <w:rFonts w:hint="eastAsia" w:eastAsia="宋体" w:cs="宋体"/>
                <w:color w:val="000000" w:themeColor="text1"/>
                <w:kern w:val="0"/>
                <w:sz w:val="20"/>
                <w:lang w:bidi="ar"/>
                <w14:textFill>
                  <w14:solidFill>
                    <w14:schemeClr w14:val="tx1"/>
                  </w14:solidFill>
                </w14:textFill>
              </w:rPr>
              <w:t>结果</w:t>
            </w:r>
          </w:p>
        </w:tc>
        <w:tc>
          <w:tcPr>
            <w:tcW w:w="650" w:type="dxa"/>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尚未</w:t>
            </w:r>
            <w:r>
              <w:rPr>
                <w:rFonts w:hint="eastAsia" w:eastAsia="宋体" w:cs="宋体"/>
                <w:color w:val="000000" w:themeColor="text1"/>
                <w:kern w:val="0"/>
                <w:sz w:val="20"/>
                <w:lang w:bidi="ar"/>
                <w14:textFill>
                  <w14:solidFill>
                    <w14:schemeClr w14:val="tx1"/>
                  </w14:solidFill>
                </w14:textFill>
              </w:rPr>
              <w:br w:type="textWrapping"/>
            </w:r>
            <w:r>
              <w:rPr>
                <w:rFonts w:hint="eastAsia" w:eastAsia="宋体" w:cs="宋体"/>
                <w:color w:val="000000" w:themeColor="text1"/>
                <w:kern w:val="0"/>
                <w:sz w:val="20"/>
                <w:lang w:bidi="ar"/>
                <w14:textFill>
                  <w14:solidFill>
                    <w14:schemeClr w14:val="tx1"/>
                  </w14:solidFill>
                </w14:textFill>
              </w:rPr>
              <w:t>审结</w:t>
            </w:r>
          </w:p>
        </w:tc>
        <w:tc>
          <w:tcPr>
            <w:tcW w:w="650" w:type="dxa"/>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总计</w:t>
            </w:r>
          </w:p>
        </w:tc>
        <w:tc>
          <w:tcPr>
            <w:tcW w:w="650" w:type="dxa"/>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结果</w:t>
            </w:r>
            <w:r>
              <w:rPr>
                <w:rFonts w:hint="eastAsia" w:eastAsia="宋体" w:cs="宋体"/>
                <w:color w:val="000000" w:themeColor="text1"/>
                <w:kern w:val="0"/>
                <w:sz w:val="20"/>
                <w:lang w:bidi="ar"/>
                <w14:textFill>
                  <w14:solidFill>
                    <w14:schemeClr w14:val="tx1"/>
                  </w14:solidFill>
                </w14:textFill>
              </w:rPr>
              <w:br w:type="textWrapping"/>
            </w:r>
            <w:r>
              <w:rPr>
                <w:rFonts w:hint="eastAsia" w:eastAsia="宋体" w:cs="宋体"/>
                <w:color w:val="000000" w:themeColor="text1"/>
                <w:kern w:val="0"/>
                <w:sz w:val="20"/>
                <w:lang w:bidi="ar"/>
                <w14:textFill>
                  <w14:solidFill>
                    <w14:schemeClr w14:val="tx1"/>
                  </w14:solidFill>
                </w14:textFill>
              </w:rPr>
              <w:t>维持</w:t>
            </w:r>
          </w:p>
        </w:tc>
        <w:tc>
          <w:tcPr>
            <w:tcW w:w="650" w:type="dxa"/>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结果</w:t>
            </w:r>
            <w:r>
              <w:rPr>
                <w:rFonts w:hint="eastAsia" w:eastAsia="宋体" w:cs="宋体"/>
                <w:color w:val="000000" w:themeColor="text1"/>
                <w:kern w:val="0"/>
                <w:sz w:val="20"/>
                <w:lang w:bidi="ar"/>
                <w14:textFill>
                  <w14:solidFill>
                    <w14:schemeClr w14:val="tx1"/>
                  </w14:solidFill>
                </w14:textFill>
              </w:rPr>
              <w:br w:type="textWrapping"/>
            </w:r>
            <w:r>
              <w:rPr>
                <w:rFonts w:hint="eastAsia" w:eastAsia="宋体" w:cs="宋体"/>
                <w:color w:val="000000" w:themeColor="text1"/>
                <w:kern w:val="0"/>
                <w:sz w:val="20"/>
                <w:lang w:bidi="ar"/>
                <w14:textFill>
                  <w14:solidFill>
                    <w14:schemeClr w14:val="tx1"/>
                  </w14:solidFill>
                </w14:textFill>
              </w:rPr>
              <w:t>纠正</w:t>
            </w:r>
          </w:p>
        </w:tc>
        <w:tc>
          <w:tcPr>
            <w:tcW w:w="650" w:type="dxa"/>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其他</w:t>
            </w:r>
            <w:r>
              <w:rPr>
                <w:rFonts w:hint="eastAsia" w:eastAsia="宋体" w:cs="宋体"/>
                <w:color w:val="000000" w:themeColor="text1"/>
                <w:kern w:val="0"/>
                <w:sz w:val="20"/>
                <w:lang w:bidi="ar"/>
                <w14:textFill>
                  <w14:solidFill>
                    <w14:schemeClr w14:val="tx1"/>
                  </w14:solidFill>
                </w14:textFill>
              </w:rPr>
              <w:br w:type="textWrapping"/>
            </w:r>
            <w:r>
              <w:rPr>
                <w:rFonts w:hint="eastAsia" w:eastAsia="宋体" w:cs="宋体"/>
                <w:color w:val="000000" w:themeColor="text1"/>
                <w:kern w:val="0"/>
                <w:sz w:val="20"/>
                <w:lang w:bidi="ar"/>
                <w14:textFill>
                  <w14:solidFill>
                    <w14:schemeClr w14:val="tx1"/>
                  </w14:solidFill>
                </w14:textFill>
              </w:rPr>
              <w:t>结果</w:t>
            </w:r>
          </w:p>
        </w:tc>
        <w:tc>
          <w:tcPr>
            <w:tcW w:w="650" w:type="dxa"/>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尚未</w:t>
            </w:r>
            <w:r>
              <w:rPr>
                <w:rFonts w:hint="eastAsia" w:eastAsia="宋体" w:cs="宋体"/>
                <w:color w:val="000000" w:themeColor="text1"/>
                <w:kern w:val="0"/>
                <w:sz w:val="20"/>
                <w:lang w:bidi="ar"/>
                <w14:textFill>
                  <w14:solidFill>
                    <w14:schemeClr w14:val="tx1"/>
                  </w14:solidFill>
                </w14:textFill>
              </w:rPr>
              <w:br w:type="textWrapping"/>
            </w:r>
            <w:r>
              <w:rPr>
                <w:rFonts w:hint="eastAsia" w:eastAsia="宋体" w:cs="宋体"/>
                <w:color w:val="000000" w:themeColor="text1"/>
                <w:kern w:val="0"/>
                <w:sz w:val="20"/>
                <w:lang w:bidi="ar"/>
                <w14:textFill>
                  <w14:solidFill>
                    <w14:schemeClr w14:val="tx1"/>
                  </w14:solidFill>
                </w14:textFill>
              </w:rPr>
              <w:t>审结</w:t>
            </w:r>
          </w:p>
        </w:tc>
        <w:tc>
          <w:tcPr>
            <w:tcW w:w="650" w:type="dxa"/>
            <w:shd w:val="clear" w:color="auto" w:fill="auto"/>
            <w:tcMar>
              <w:left w:w="108" w:type="dxa"/>
              <w:right w:w="108" w:type="dxa"/>
            </w:tcMar>
            <w:vAlign w:val="center"/>
          </w:tcPr>
          <w:p>
            <w:pPr>
              <w:widowControl/>
              <w:jc w:val="center"/>
              <w:rPr>
                <w:color w:val="000000" w:themeColor="text1"/>
                <w14:textFill>
                  <w14:solidFill>
                    <w14:schemeClr w14:val="tx1"/>
                  </w14:solidFill>
                </w14:textFill>
              </w:rPr>
            </w:pPr>
            <w:r>
              <w:rPr>
                <w:rFonts w:hint="eastAsia" w:eastAsia="宋体" w:cs="宋体"/>
                <w:color w:val="000000" w:themeColor="text1"/>
                <w:kern w:val="0"/>
                <w:sz w:val="20"/>
                <w:lang w:bidi="ar"/>
                <w14:textFill>
                  <w14:solidFill>
                    <w14:schemeClr w14:val="tx1"/>
                  </w14:solidFill>
                </w14:textFill>
              </w:rPr>
              <w:t>总计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2" w:hRule="atLeast"/>
          <w:jc w:val="center"/>
        </w:trPr>
        <w:tc>
          <w:tcPr>
            <w:tcW w:w="650" w:type="dxa"/>
            <w:shd w:val="clear" w:color="auto" w:fill="auto"/>
            <w:tcMar>
              <w:left w:w="108" w:type="dxa"/>
              <w:right w:w="108"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9</w:t>
            </w:r>
          </w:p>
        </w:tc>
        <w:tc>
          <w:tcPr>
            <w:tcW w:w="650" w:type="dxa"/>
            <w:shd w:val="clear" w:color="auto" w:fill="auto"/>
            <w:tcMar>
              <w:left w:w="108" w:type="dxa"/>
              <w:right w:w="108"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w:t>
            </w:r>
          </w:p>
        </w:tc>
        <w:tc>
          <w:tcPr>
            <w:tcW w:w="650" w:type="dxa"/>
            <w:shd w:val="clear" w:color="auto" w:fill="auto"/>
            <w:tcMar>
              <w:left w:w="108" w:type="dxa"/>
              <w:right w:w="108"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w:t>
            </w:r>
          </w:p>
        </w:tc>
        <w:tc>
          <w:tcPr>
            <w:tcW w:w="650" w:type="dxa"/>
            <w:shd w:val="clear" w:color="auto" w:fill="auto"/>
            <w:tcMar>
              <w:left w:w="108" w:type="dxa"/>
              <w:right w:w="108"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w:t>
            </w:r>
          </w:p>
        </w:tc>
        <w:tc>
          <w:tcPr>
            <w:tcW w:w="650" w:type="dxa"/>
            <w:shd w:val="clear" w:color="auto" w:fill="auto"/>
            <w:tcMar>
              <w:left w:w="108" w:type="dxa"/>
              <w:right w:w="108"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15</w:t>
            </w:r>
          </w:p>
        </w:tc>
        <w:tc>
          <w:tcPr>
            <w:tcW w:w="649" w:type="dxa"/>
            <w:shd w:val="clear" w:color="auto" w:fill="auto"/>
            <w:tcMar>
              <w:left w:w="108" w:type="dxa"/>
              <w:right w:w="108"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8</w:t>
            </w:r>
          </w:p>
        </w:tc>
        <w:tc>
          <w:tcPr>
            <w:tcW w:w="649" w:type="dxa"/>
            <w:shd w:val="clear" w:color="auto" w:fill="auto"/>
            <w:tcMar>
              <w:left w:w="108" w:type="dxa"/>
              <w:right w:w="108"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50" w:type="dxa"/>
            <w:shd w:val="clear" w:color="auto" w:fill="auto"/>
            <w:tcMar>
              <w:left w:w="108" w:type="dxa"/>
              <w:right w:w="108"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7</w:t>
            </w:r>
          </w:p>
        </w:tc>
        <w:tc>
          <w:tcPr>
            <w:tcW w:w="650" w:type="dxa"/>
            <w:shd w:val="clear" w:color="auto" w:fill="auto"/>
            <w:tcMar>
              <w:left w:w="108" w:type="dxa"/>
              <w:right w:w="108"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1</w:t>
            </w:r>
          </w:p>
        </w:tc>
        <w:tc>
          <w:tcPr>
            <w:tcW w:w="650" w:type="dxa"/>
            <w:shd w:val="clear" w:color="auto" w:fill="auto"/>
            <w:tcMar>
              <w:left w:w="108" w:type="dxa"/>
              <w:right w:w="108"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16</w:t>
            </w:r>
          </w:p>
        </w:tc>
        <w:tc>
          <w:tcPr>
            <w:tcW w:w="650" w:type="dxa"/>
            <w:shd w:val="clear" w:color="auto" w:fill="auto"/>
            <w:tcMar>
              <w:left w:w="108" w:type="dxa"/>
              <w:right w:w="108"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3</w:t>
            </w:r>
          </w:p>
        </w:tc>
        <w:tc>
          <w:tcPr>
            <w:tcW w:w="650" w:type="dxa"/>
            <w:shd w:val="clear" w:color="auto" w:fill="auto"/>
            <w:tcMar>
              <w:left w:w="108" w:type="dxa"/>
              <w:right w:w="108"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50" w:type="dxa"/>
            <w:shd w:val="clear" w:color="auto" w:fill="auto"/>
            <w:tcMar>
              <w:left w:w="108" w:type="dxa"/>
              <w:right w:w="108"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0</w:t>
            </w:r>
          </w:p>
        </w:tc>
        <w:tc>
          <w:tcPr>
            <w:tcW w:w="650" w:type="dxa"/>
            <w:shd w:val="clear" w:color="auto" w:fill="auto"/>
            <w:tcMar>
              <w:left w:w="108" w:type="dxa"/>
              <w:right w:w="108"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2</w:t>
            </w:r>
          </w:p>
        </w:tc>
        <w:tc>
          <w:tcPr>
            <w:tcW w:w="650" w:type="dxa"/>
            <w:shd w:val="clear" w:color="auto" w:fill="auto"/>
            <w:tcMar>
              <w:left w:w="108" w:type="dxa"/>
              <w:right w:w="108" w:type="dxa"/>
            </w:tcMar>
            <w:vAlign w:val="center"/>
          </w:tcPr>
          <w:p>
            <w:pPr>
              <w:widowControl/>
              <w:jc w:val="center"/>
              <w:rPr>
                <w:rFonts w:hint="eastAsia" w:eastAsia="宋体" w:cs="宋体"/>
                <w:color w:val="000000" w:themeColor="text1"/>
                <w:kern w:val="0"/>
                <w:sz w:val="20"/>
                <w:lang w:bidi="ar"/>
                <w14:textFill>
                  <w14:solidFill>
                    <w14:schemeClr w14:val="tx1"/>
                  </w14:solidFill>
                </w14:textFill>
              </w:rPr>
            </w:pPr>
            <w:r>
              <w:rPr>
                <w:rFonts w:hint="eastAsia" w:eastAsia="宋体" w:cs="宋体"/>
                <w:color w:val="000000" w:themeColor="text1"/>
                <w:kern w:val="0"/>
                <w:sz w:val="20"/>
                <w:lang w:val="en-US" w:eastAsia="zh-CN" w:bidi="ar"/>
                <w14:textFill>
                  <w14:solidFill>
                    <w14:schemeClr w14:val="tx1"/>
                  </w14:solidFill>
                </w14:textFill>
              </w:rPr>
              <w:t>5</w:t>
            </w:r>
          </w:p>
        </w:tc>
      </w:tr>
    </w:tbl>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ascii="方正黑体_GBK" w:eastAsia="方正黑体_GBK"/>
          <w:color w:val="000000" w:themeColor="text1"/>
          <w:sz w:val="32"/>
          <w:szCs w:val="32"/>
          <w14:textFill>
            <w14:solidFill>
              <w14:schemeClr w14:val="tx1"/>
            </w14:solidFill>
          </w14:textFill>
        </w:rPr>
      </w:pPr>
      <w:r>
        <w:rPr>
          <w:rFonts w:hint="eastAsia" w:ascii="方正黑体_GBK" w:hAnsi="方正黑体_GBK" w:eastAsia="方正黑体_GBK" w:cs="方正黑体_GBK"/>
          <w:color w:val="000000" w:themeColor="text1"/>
          <w:sz w:val="32"/>
          <w:szCs w:val="32"/>
          <w14:textFill>
            <w14:solidFill>
              <w14:schemeClr w14:val="tx1"/>
            </w14:solidFill>
          </w14:textFill>
        </w:rPr>
        <w:t>五、存在的主要问题及改进情况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方正仿宋_GBK" w:eastAsia="方正仿宋_GBK"/>
          <w:color w:val="000000" w:themeColor="text1"/>
          <w:sz w:val="32"/>
          <w:szCs w:val="32"/>
          <w:shd w:val="clear" w:color="auto" w:fill="FFFFFF"/>
          <w14:textFill>
            <w14:solidFill>
              <w14:schemeClr w14:val="tx1"/>
            </w14:solidFill>
          </w14:textFill>
        </w:rPr>
      </w:pPr>
      <w:r>
        <w:rPr>
          <w:rFonts w:hint="eastAsia" w:ascii="方正楷体_GB2312" w:hAnsi="方正楷体_GB2312" w:eastAsia="方正楷体_GB2312" w:cs="方正楷体_GB2312"/>
          <w:color w:val="000000" w:themeColor="text1"/>
          <w:sz w:val="32"/>
          <w:szCs w:val="32"/>
          <w:shd w:val="clear" w:color="auto" w:fill="FFFFFF"/>
          <w14:textFill>
            <w14:solidFill>
              <w14:schemeClr w14:val="tx1"/>
            </w14:solidFill>
          </w14:textFill>
        </w:rPr>
        <w:t>（一）存在问题：</w:t>
      </w:r>
      <w:r>
        <w:rPr>
          <w:rFonts w:hint="eastAsia" w:ascii="方正仿宋_GBK" w:eastAsia="方正仿宋_GBK"/>
          <w:color w:val="000000" w:themeColor="text1"/>
          <w:sz w:val="32"/>
          <w:szCs w:val="32"/>
          <w:shd w:val="clear" w:color="auto" w:fill="FFFFFF"/>
          <w:lang w:val="en-US" w:eastAsia="zh-CN"/>
          <w14:textFill>
            <w14:solidFill>
              <w14:schemeClr w14:val="tx1"/>
            </w14:solidFill>
          </w14:textFill>
        </w:rPr>
        <w:t>一是</w:t>
      </w:r>
      <w:r>
        <w:rPr>
          <w:rFonts w:hint="eastAsia" w:ascii="方正仿宋_GBK" w:eastAsia="方正仿宋_GBK"/>
          <w:color w:val="000000" w:themeColor="text1"/>
          <w:sz w:val="32"/>
          <w:szCs w:val="32"/>
          <w:shd w:val="clear" w:color="auto" w:fill="FFFFFF"/>
          <w14:textFill>
            <w14:solidFill>
              <w14:schemeClr w14:val="tx1"/>
            </w14:solidFill>
          </w14:textFill>
        </w:rPr>
        <w:t>信息公开力度还不够大，</w:t>
      </w:r>
      <w:r>
        <w:rPr>
          <w:rFonts w:hint="eastAsia" w:ascii="方正仿宋_GBK" w:eastAsia="方正仿宋_GBK"/>
          <w:color w:val="000000" w:themeColor="text1"/>
          <w:sz w:val="32"/>
          <w:szCs w:val="32"/>
          <w:shd w:val="clear" w:color="auto" w:fill="FFFFFF"/>
          <w:lang w:val="en-US" w:eastAsia="zh-CN"/>
          <w14:textFill>
            <w14:solidFill>
              <w14:schemeClr w14:val="tx1"/>
            </w14:solidFill>
          </w14:textFill>
        </w:rPr>
        <w:t>信息公开的主动性还有待提高。</w:t>
      </w:r>
      <w:r>
        <w:rPr>
          <w:rFonts w:hint="eastAsia" w:ascii="方正仿宋_GBK" w:eastAsia="方正仿宋_GBK"/>
          <w:color w:val="000000" w:themeColor="text1"/>
          <w:sz w:val="32"/>
          <w:szCs w:val="32"/>
          <w:shd w:val="clear" w:color="auto" w:fill="FFFFFF"/>
          <w14:textFill>
            <w14:solidFill>
              <w14:schemeClr w14:val="tx1"/>
            </w14:solidFill>
          </w14:textFill>
        </w:rPr>
        <w:t>二是各类惠企惠民政策文件以及规范性文件，解读形式仍不够丰富、质量有待提升。</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方正仿宋_GBK" w:eastAsia="方正仿宋_GBK"/>
          <w:color w:val="000000" w:themeColor="text1"/>
          <w:sz w:val="32"/>
          <w:szCs w:val="32"/>
          <w:shd w:val="clear" w:color="auto" w:fill="FFFFFF"/>
          <w14:textFill>
            <w14:solidFill>
              <w14:schemeClr w14:val="tx1"/>
            </w14:solidFill>
          </w14:textFill>
        </w:rPr>
      </w:pPr>
      <w:r>
        <w:rPr>
          <w:rFonts w:hint="eastAsia" w:ascii="方正楷体_GB2312" w:hAnsi="方正楷体_GB2312" w:eastAsia="方正楷体_GB2312" w:cs="方正楷体_GB2312"/>
          <w:color w:val="000000" w:themeColor="text1"/>
          <w:sz w:val="32"/>
          <w:szCs w:val="32"/>
          <w:shd w:val="clear" w:color="auto" w:fill="FFFFFF"/>
          <w14:textFill>
            <w14:solidFill>
              <w14:schemeClr w14:val="tx1"/>
            </w14:solidFill>
          </w14:textFill>
        </w:rPr>
        <w:t>（二）改进措施：</w:t>
      </w:r>
      <w:r>
        <w:rPr>
          <w:rFonts w:hint="eastAsia" w:ascii="方正仿宋_GBK" w:eastAsia="方正仿宋_GBK"/>
          <w:color w:val="000000" w:themeColor="text1"/>
          <w:sz w:val="32"/>
          <w:szCs w:val="32"/>
          <w:shd w:val="clear" w:color="auto" w:fill="FFFFFF"/>
          <w14:textFill>
            <w14:solidFill>
              <w14:schemeClr w14:val="tx1"/>
            </w14:solidFill>
          </w14:textFill>
        </w:rPr>
        <w:t>一是适时召开工作部署会</w:t>
      </w:r>
      <w:r>
        <w:rPr>
          <w:rFonts w:hint="eastAsia" w:ascii="方正仿宋_GBK" w:eastAsia="方正仿宋_GBK"/>
          <w:color w:val="000000" w:themeColor="text1"/>
          <w:sz w:val="32"/>
          <w:szCs w:val="32"/>
          <w:shd w:val="clear" w:color="auto" w:fill="FFFFFF"/>
          <w:lang w:eastAsia="zh-CN"/>
          <w14:textFill>
            <w14:solidFill>
              <w14:schemeClr w14:val="tx1"/>
            </w14:solidFill>
          </w14:textFill>
        </w:rPr>
        <w:t>、</w:t>
      </w:r>
      <w:r>
        <w:rPr>
          <w:rFonts w:hint="eastAsia" w:ascii="方正仿宋_GBK" w:eastAsia="方正仿宋_GBK"/>
          <w:color w:val="000000" w:themeColor="text1"/>
          <w:sz w:val="32"/>
          <w:szCs w:val="32"/>
          <w:shd w:val="clear" w:color="auto" w:fill="FFFFFF"/>
          <w14:textFill>
            <w14:solidFill>
              <w14:schemeClr w14:val="tx1"/>
            </w14:solidFill>
          </w14:textFill>
        </w:rPr>
        <w:t>业务专题培训</w:t>
      </w:r>
      <w:r>
        <w:rPr>
          <w:rFonts w:hint="eastAsia" w:ascii="方正仿宋_GBK" w:eastAsia="方正仿宋_GBK"/>
          <w:color w:val="000000" w:themeColor="text1"/>
          <w:sz w:val="32"/>
          <w:szCs w:val="32"/>
          <w:shd w:val="clear" w:color="auto" w:fill="FFFFFF"/>
          <w:lang w:val="en-US" w:eastAsia="zh-CN"/>
          <w14:textFill>
            <w14:solidFill>
              <w14:schemeClr w14:val="tx1"/>
            </w14:solidFill>
          </w14:textFill>
        </w:rPr>
        <w:t>会</w:t>
      </w:r>
      <w:r>
        <w:rPr>
          <w:rFonts w:hint="eastAsia" w:ascii="方正仿宋_GBK" w:eastAsia="方正仿宋_GBK"/>
          <w:color w:val="000000" w:themeColor="text1"/>
          <w:sz w:val="32"/>
          <w:szCs w:val="32"/>
          <w:shd w:val="clear" w:color="auto" w:fill="FFFFFF"/>
          <w14:textFill>
            <w14:solidFill>
              <w14:schemeClr w14:val="tx1"/>
            </w14:solidFill>
          </w14:textFill>
        </w:rPr>
        <w:t>，提升工作人员专业素质。采用日常检查与</w:t>
      </w:r>
      <w:r>
        <w:rPr>
          <w:rFonts w:hint="eastAsia" w:ascii="方正仿宋_GBK" w:eastAsia="方正仿宋_GBK"/>
          <w:color w:val="000000" w:themeColor="text1"/>
          <w:sz w:val="32"/>
          <w:szCs w:val="32"/>
          <w:shd w:val="clear" w:color="auto" w:fill="FFFFFF"/>
          <w:lang w:val="en-US" w:eastAsia="zh-CN"/>
          <w14:textFill>
            <w14:solidFill>
              <w14:schemeClr w14:val="tx1"/>
            </w14:solidFill>
          </w14:textFill>
        </w:rPr>
        <w:t>季度</w:t>
      </w:r>
      <w:r>
        <w:rPr>
          <w:rFonts w:hint="eastAsia" w:ascii="方正仿宋_GBK" w:eastAsia="方正仿宋_GBK"/>
          <w:color w:val="000000" w:themeColor="text1"/>
          <w:sz w:val="32"/>
          <w:szCs w:val="32"/>
          <w:shd w:val="clear" w:color="auto" w:fill="FFFFFF"/>
          <w14:textFill>
            <w14:solidFill>
              <w14:schemeClr w14:val="tx1"/>
            </w14:solidFill>
          </w14:textFill>
        </w:rPr>
        <w:t>考核相结合的方式，做好常态化监管，督促全区各部门切实提高公开意识和公开水平。</w:t>
      </w:r>
      <w:r>
        <w:rPr>
          <w:rFonts w:hint="eastAsia" w:ascii="方正仿宋_GBK" w:eastAsia="方正仿宋_GBK"/>
          <w:color w:val="000000" w:themeColor="text1"/>
          <w:sz w:val="32"/>
          <w:szCs w:val="32"/>
          <w:shd w:val="clear" w:color="auto" w:fill="FFFFFF"/>
          <w:lang w:val="en-US" w:eastAsia="zh-CN"/>
          <w14:textFill>
            <w14:solidFill>
              <w14:schemeClr w14:val="tx1"/>
            </w14:solidFill>
          </w14:textFill>
        </w:rPr>
        <w:t>二是</w:t>
      </w:r>
      <w:r>
        <w:rPr>
          <w:rFonts w:hint="eastAsia" w:ascii="方正仿宋_GBK" w:eastAsia="方正仿宋_GBK"/>
          <w:color w:val="000000" w:themeColor="text1"/>
          <w:sz w:val="32"/>
          <w:szCs w:val="32"/>
          <w:shd w:val="clear" w:color="auto" w:fill="FFFFFF"/>
          <w14:textFill>
            <w14:solidFill>
              <w14:schemeClr w14:val="tx1"/>
            </w14:solidFill>
          </w14:textFill>
        </w:rPr>
        <w:t>进一步加强政策发布解读，严格落实公文公开属性源头认定制度，实现政策文件与解读材料同步起草、同步审签、同步发布。充分运用多种方式对重要政策进行全方位解读，增强政民互动的针对性和实效性，切实提升群众的参与感、获得感。</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ascii="方正黑体_GBK" w:hAnsi="方正黑体_GBK" w:eastAsia="方正黑体_GBK" w:cs="方正黑体_GBK"/>
          <w:color w:val="000000" w:themeColor="text1"/>
          <w:sz w:val="32"/>
          <w:szCs w:val="32"/>
          <w14:textFill>
            <w14:solidFill>
              <w14:schemeClr w14:val="tx1"/>
            </w14:solidFill>
          </w14:textFill>
        </w:rPr>
      </w:pPr>
      <w:r>
        <w:rPr>
          <w:rFonts w:hint="eastAsia" w:ascii="方正黑体_GBK" w:hAnsi="方正黑体_GBK" w:eastAsia="方正黑体_GBK" w:cs="方正黑体_GBK"/>
          <w:color w:val="000000" w:themeColor="text1"/>
          <w:sz w:val="32"/>
          <w:szCs w:val="32"/>
          <w14:textFill>
            <w14:solidFill>
              <w14:schemeClr w14:val="tx1"/>
            </w14:solidFill>
          </w14:textFill>
        </w:rPr>
        <w:t>六、其他需要报告的事项</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方正仿宋_GBK" w:eastAsia="方正仿宋_GBK"/>
          <w:color w:val="000000" w:themeColor="text1"/>
          <w:sz w:val="32"/>
          <w:szCs w:val="32"/>
          <w:shd w:val="clear" w:color="auto" w:fill="FFFFFF"/>
          <w14:textFill>
            <w14:solidFill>
              <w14:schemeClr w14:val="tx1"/>
            </w14:solidFill>
          </w14:textFill>
        </w:rPr>
      </w:pPr>
      <w:r>
        <w:rPr>
          <w:rFonts w:hint="eastAsia" w:ascii="方正仿宋_GBK" w:eastAsia="方正仿宋_GBK"/>
          <w:color w:val="000000" w:themeColor="text1"/>
          <w:sz w:val="32"/>
          <w:szCs w:val="32"/>
          <w:shd w:val="clear" w:color="auto" w:fill="FFFFFF"/>
          <w14:textFill>
            <w14:solidFill>
              <w14:schemeClr w14:val="tx1"/>
            </w14:solidFill>
          </w14:textFill>
        </w:rPr>
        <w:t>本单位严格落实《政府信息公开条例》和相关文件要求，完成政务公开各项工作。本单位</w:t>
      </w:r>
      <w:bookmarkStart w:id="0" w:name="_GoBack"/>
      <w:bookmarkEnd w:id="0"/>
      <w:r>
        <w:rPr>
          <w:rFonts w:hint="eastAsia" w:ascii="方正仿宋_GBK" w:eastAsia="方正仿宋_GBK"/>
          <w:color w:val="000000" w:themeColor="text1"/>
          <w:sz w:val="32"/>
          <w:szCs w:val="32"/>
          <w:shd w:val="clear" w:color="auto" w:fill="FFFFFF"/>
          <w14:textFill>
            <w14:solidFill>
              <w14:schemeClr w14:val="tx1"/>
            </w14:solidFill>
          </w14:textFill>
        </w:rPr>
        <w:t>未收取信息处理费。</w:t>
      </w:r>
    </w:p>
    <w:sectPr>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方正仿宋_GB2312">
    <w:altName w:val="方正仿宋_GBK"/>
    <w:panose1 w:val="02000000000000000000"/>
    <w:charset w:val="86"/>
    <w:family w:val="auto"/>
    <w:pitch w:val="default"/>
    <w:sig w:usb0="00000000" w:usb1="00000000" w:usb2="00000012" w:usb3="00000000" w:csb0="00040001" w:csb1="00000000"/>
  </w:font>
  <w:font w:name="方正楷体_GB2312">
    <w:altName w:val="方正楷体_GBK"/>
    <w:panose1 w:val="02000000000000000000"/>
    <w:charset w:val="86"/>
    <w:family w:val="auto"/>
    <w:pitch w:val="default"/>
    <w:sig w:usb0="00000000" w:usb1="00000000" w:usb2="00000012" w:usb3="00000000" w:csb0="00040001" w:csb1="00000000"/>
  </w:font>
  <w:font w:name="楷体">
    <w:altName w:val="方正楷体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TrueTypeFonts/>
  <w:saveSubset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QwYWMyN2NiNjIxNjU0MDEyOTE4YmY0MjZlNzE0YjcifQ=="/>
  </w:docVars>
  <w:rsids>
    <w:rsidRoot w:val="00FF7F1E"/>
    <w:rsid w:val="00145A43"/>
    <w:rsid w:val="00161498"/>
    <w:rsid w:val="001A2334"/>
    <w:rsid w:val="001C33C4"/>
    <w:rsid w:val="001D53DC"/>
    <w:rsid w:val="001E01F6"/>
    <w:rsid w:val="001F5A5F"/>
    <w:rsid w:val="0020517B"/>
    <w:rsid w:val="00280067"/>
    <w:rsid w:val="002C64F5"/>
    <w:rsid w:val="00394AA1"/>
    <w:rsid w:val="00417BA8"/>
    <w:rsid w:val="00422870"/>
    <w:rsid w:val="00444974"/>
    <w:rsid w:val="004B7601"/>
    <w:rsid w:val="00515237"/>
    <w:rsid w:val="00535E7A"/>
    <w:rsid w:val="005C4065"/>
    <w:rsid w:val="006C06B9"/>
    <w:rsid w:val="006C1B5C"/>
    <w:rsid w:val="006C7D29"/>
    <w:rsid w:val="006F68C1"/>
    <w:rsid w:val="00734F52"/>
    <w:rsid w:val="007559DF"/>
    <w:rsid w:val="007B330C"/>
    <w:rsid w:val="007C1793"/>
    <w:rsid w:val="00816FFD"/>
    <w:rsid w:val="008213B7"/>
    <w:rsid w:val="008864A5"/>
    <w:rsid w:val="008D0BCF"/>
    <w:rsid w:val="008D1774"/>
    <w:rsid w:val="008F4001"/>
    <w:rsid w:val="009135F5"/>
    <w:rsid w:val="00937F75"/>
    <w:rsid w:val="00966868"/>
    <w:rsid w:val="009858E9"/>
    <w:rsid w:val="009938D7"/>
    <w:rsid w:val="009C32D7"/>
    <w:rsid w:val="009F1A6E"/>
    <w:rsid w:val="009F64DF"/>
    <w:rsid w:val="00B55EDE"/>
    <w:rsid w:val="00BC63BF"/>
    <w:rsid w:val="00C01C6C"/>
    <w:rsid w:val="00C12A0F"/>
    <w:rsid w:val="00C23420"/>
    <w:rsid w:val="00D433B3"/>
    <w:rsid w:val="00D616DC"/>
    <w:rsid w:val="00D67004"/>
    <w:rsid w:val="00D92A8D"/>
    <w:rsid w:val="00DD74F6"/>
    <w:rsid w:val="00E042DC"/>
    <w:rsid w:val="00E17E6F"/>
    <w:rsid w:val="00E25179"/>
    <w:rsid w:val="00E505E1"/>
    <w:rsid w:val="00E63676"/>
    <w:rsid w:val="00ED645D"/>
    <w:rsid w:val="00EF36F0"/>
    <w:rsid w:val="00F052AF"/>
    <w:rsid w:val="00F2171F"/>
    <w:rsid w:val="00F25037"/>
    <w:rsid w:val="00F658DA"/>
    <w:rsid w:val="00FA1D44"/>
    <w:rsid w:val="00FE1310"/>
    <w:rsid w:val="00FF7F1E"/>
    <w:rsid w:val="023870D5"/>
    <w:rsid w:val="03E70DB3"/>
    <w:rsid w:val="04461F7D"/>
    <w:rsid w:val="06BF6017"/>
    <w:rsid w:val="07D93108"/>
    <w:rsid w:val="08D631A4"/>
    <w:rsid w:val="0E0D3F34"/>
    <w:rsid w:val="0E6B438E"/>
    <w:rsid w:val="13702B73"/>
    <w:rsid w:val="13FA68E0"/>
    <w:rsid w:val="15B12FCF"/>
    <w:rsid w:val="174A7237"/>
    <w:rsid w:val="17E01949"/>
    <w:rsid w:val="1F8A1EBA"/>
    <w:rsid w:val="208A2D9A"/>
    <w:rsid w:val="21415B4F"/>
    <w:rsid w:val="231F5A1C"/>
    <w:rsid w:val="2DB43204"/>
    <w:rsid w:val="2F2B5748"/>
    <w:rsid w:val="3014442E"/>
    <w:rsid w:val="336113C4"/>
    <w:rsid w:val="33EB36F8"/>
    <w:rsid w:val="3CB7686D"/>
    <w:rsid w:val="40833636"/>
    <w:rsid w:val="44F85C75"/>
    <w:rsid w:val="47265B8E"/>
    <w:rsid w:val="49221512"/>
    <w:rsid w:val="4A325785"/>
    <w:rsid w:val="4AA93C99"/>
    <w:rsid w:val="4C6F73E6"/>
    <w:rsid w:val="4CF5766A"/>
    <w:rsid w:val="5038161B"/>
    <w:rsid w:val="52E837CD"/>
    <w:rsid w:val="5F3842BD"/>
    <w:rsid w:val="626A7D5A"/>
    <w:rsid w:val="6454481E"/>
    <w:rsid w:val="667747F4"/>
    <w:rsid w:val="68580655"/>
    <w:rsid w:val="68D777CC"/>
    <w:rsid w:val="6A627569"/>
    <w:rsid w:val="6B87372B"/>
    <w:rsid w:val="6F7A7103"/>
    <w:rsid w:val="6F92269E"/>
    <w:rsid w:val="72BB1F0C"/>
    <w:rsid w:val="72C94629"/>
    <w:rsid w:val="73BE1CB4"/>
    <w:rsid w:val="73D13819"/>
    <w:rsid w:val="73EF00BF"/>
    <w:rsid w:val="7782124A"/>
    <w:rsid w:val="78232A2D"/>
    <w:rsid w:val="7BA774D1"/>
    <w:rsid w:val="7D8E2B8C"/>
    <w:rsid w:val="7DA22646"/>
    <w:rsid w:val="CDCFE0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character" w:styleId="8">
    <w:name w:val="Strong"/>
    <w:basedOn w:val="7"/>
    <w:qFormat/>
    <w:uiPriority w:val="22"/>
    <w:rPr>
      <w:b/>
      <w:bCs/>
    </w:rPr>
  </w:style>
  <w:style w:type="character" w:customStyle="1" w:styleId="9">
    <w:name w:val="页眉 Char"/>
    <w:basedOn w:val="7"/>
    <w:link w:val="4"/>
    <w:qFormat/>
    <w:uiPriority w:val="99"/>
    <w:rPr>
      <w:sz w:val="18"/>
      <w:szCs w:val="18"/>
    </w:rPr>
  </w:style>
  <w:style w:type="character" w:customStyle="1" w:styleId="10">
    <w:name w:val="页脚 Char"/>
    <w:basedOn w:val="7"/>
    <w:link w:val="3"/>
    <w:qFormat/>
    <w:uiPriority w:val="99"/>
    <w:rPr>
      <w:sz w:val="18"/>
      <w:szCs w:val="18"/>
    </w:rPr>
  </w:style>
  <w:style w:type="paragraph" w:styleId="11">
    <w:name w:val="List Paragraph"/>
    <w:basedOn w:val="1"/>
    <w:qFormat/>
    <w:uiPriority w:val="34"/>
    <w:pPr>
      <w:ind w:firstLine="420" w:firstLineChars="200"/>
    </w:pPr>
  </w:style>
  <w:style w:type="character" w:customStyle="1" w:styleId="12">
    <w:name w:val="批注框文本 Char"/>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413</Words>
  <Characters>2359</Characters>
  <Lines>19</Lines>
  <Paragraphs>5</Paragraphs>
  <TotalTime>3</TotalTime>
  <ScaleCrop>false</ScaleCrop>
  <LinksUpToDate>false</LinksUpToDate>
  <CharactersWithSpaces>2767</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2023-02-20T16:44:00Z</dcterms:created>
  <dc:creator>HP</dc:creator>
  <cp:lastModifiedBy>user</cp:lastModifiedBy>
  <cp:lastPrinted>2024-02-19T09:08:00Z</cp:lastPrinted>
  <dcterms:modified xsi:type="dcterms:W3CDTF">2024-03-27T10:47:01Z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C42A7900D3EA4BD1B7F354407863A2C4_13</vt:lpwstr>
  </property>
</Properties>
</file>