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79" w:lineRule="exact"/>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bookmarkStart w:id="0" w:name="_GoBack"/>
      <w:bookmarkEnd w:id="0"/>
    </w:p>
    <w:p>
      <w:pPr>
        <w:autoSpaceDN w:val="0"/>
        <w:spacing w:line="579" w:lineRule="exact"/>
        <w:rPr>
          <w:rFonts w:hint="eastAsia" w:ascii="Times New Roman" w:hAnsi="Times New Roman" w:eastAsia="方正黑体_GBK"/>
          <w:color w:val="000000"/>
          <w:sz w:val="32"/>
          <w:szCs w:val="32"/>
        </w:rPr>
      </w:pPr>
    </w:p>
    <w:p>
      <w:pPr>
        <w:adjustRightInd w:val="0"/>
        <w:snapToGrid w:val="0"/>
        <w:spacing w:line="579"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两江新区</w:t>
      </w:r>
      <w:r>
        <w:rPr>
          <w:rFonts w:hint="eastAsia" w:ascii="Times New Roman" w:hAnsi="Times New Roman" w:eastAsia="方正小标宋_GBK"/>
          <w:sz w:val="44"/>
          <w:szCs w:val="44"/>
          <w:lang w:eastAsia="zh-CN"/>
        </w:rPr>
        <w:t>202</w:t>
      </w:r>
      <w:r>
        <w:rPr>
          <w:rFonts w:hint="eastAsia" w:ascii="Times New Roman" w:hAnsi="Times New Roman" w:eastAsia="方正小标宋_GBK"/>
          <w:sz w:val="44"/>
          <w:szCs w:val="44"/>
          <w:lang w:val="en-US" w:eastAsia="zh-CN"/>
        </w:rPr>
        <w:t>3</w:t>
      </w:r>
      <w:r>
        <w:rPr>
          <w:rFonts w:ascii="Times New Roman" w:hAnsi="Times New Roman" w:eastAsia="方正小标宋_GBK"/>
          <w:sz w:val="44"/>
          <w:szCs w:val="44"/>
        </w:rPr>
        <w:t>年度企业劳动保障守法诚信</w:t>
      </w:r>
    </w:p>
    <w:p>
      <w:pPr>
        <w:adjustRightInd w:val="0"/>
        <w:snapToGrid w:val="0"/>
        <w:spacing w:line="579" w:lineRule="exact"/>
        <w:jc w:val="center"/>
        <w:rPr>
          <w:rFonts w:hint="eastAsia" w:ascii="Times New Roman" w:hAnsi="Times New Roman" w:eastAsia="方正小标宋_GBK"/>
          <w:sz w:val="44"/>
          <w:szCs w:val="44"/>
          <w:lang w:eastAsia="zh-CN"/>
        </w:rPr>
      </w:pPr>
      <w:r>
        <w:rPr>
          <w:rFonts w:ascii="Times New Roman" w:hAnsi="Times New Roman" w:eastAsia="方正小标宋_GBK"/>
          <w:sz w:val="44"/>
          <w:szCs w:val="44"/>
        </w:rPr>
        <w:t>等级</w:t>
      </w:r>
      <w:r>
        <w:rPr>
          <w:rFonts w:hint="eastAsia" w:ascii="Times New Roman" w:hAnsi="Times New Roman" w:eastAsia="方正小标宋_GBK"/>
          <w:sz w:val="44"/>
          <w:szCs w:val="44"/>
          <w:lang w:val="en-US" w:eastAsia="zh-CN"/>
        </w:rPr>
        <w:t>拟</w:t>
      </w:r>
      <w:r>
        <w:rPr>
          <w:rFonts w:ascii="Times New Roman" w:hAnsi="Times New Roman" w:eastAsia="方正小标宋_GBK"/>
          <w:sz w:val="44"/>
          <w:szCs w:val="44"/>
        </w:rPr>
        <w:t>评价</w:t>
      </w:r>
      <w:r>
        <w:rPr>
          <w:rFonts w:hint="eastAsia" w:ascii="Times New Roman" w:hAnsi="Times New Roman" w:eastAsia="方正小标宋_GBK"/>
          <w:sz w:val="44"/>
          <w:szCs w:val="44"/>
          <w:lang w:val="en-US" w:eastAsia="zh-CN"/>
        </w:rPr>
        <w:t>结果</w:t>
      </w:r>
    </w:p>
    <w:p>
      <w:pPr>
        <w:adjustRightInd w:val="0"/>
        <w:snapToGrid w:val="0"/>
        <w:spacing w:line="579" w:lineRule="exact"/>
        <w:jc w:val="center"/>
        <w:rPr>
          <w:rFonts w:hint="eastAsia" w:ascii="方正楷体_GBK" w:hAnsi="方正楷体_GBK" w:eastAsia="方正楷体_GBK" w:cs="方正楷体_GBK"/>
          <w:i w:val="0"/>
          <w:iCs w:val="0"/>
          <w:caps w:val="0"/>
          <w:color w:val="333333"/>
          <w:spacing w:val="0"/>
          <w:sz w:val="32"/>
          <w:szCs w:val="32"/>
          <w:shd w:val="clear" w:color="auto" w:fill="FFFFFF"/>
        </w:rPr>
      </w:pPr>
      <w:r>
        <w:rPr>
          <w:rFonts w:hint="eastAsia" w:ascii="方正楷体_GBK" w:hAnsi="方正楷体_GBK" w:eastAsia="方正楷体_GBK" w:cs="方正楷体_GBK"/>
          <w:i w:val="0"/>
          <w:iCs w:val="0"/>
          <w:caps w:val="0"/>
          <w:color w:val="333333"/>
          <w:spacing w:val="0"/>
          <w:sz w:val="32"/>
          <w:szCs w:val="32"/>
          <w:shd w:val="clear" w:color="auto" w:fill="FFFFFF"/>
        </w:rPr>
        <w:t>（排名不分先后）</w:t>
      </w:r>
    </w:p>
    <w:tbl>
      <w:tblPr>
        <w:tblStyle w:val="3"/>
        <w:tblpPr w:leftFromText="180" w:rightFromText="180" w:vertAnchor="text" w:horzAnchor="page" w:tblpX="1920" w:tblpY="584"/>
        <w:tblOverlap w:val="never"/>
        <w:tblW w:w="8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513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lang w:val="en-US" w:eastAsia="zh-CN" w:bidi="ar"/>
              </w:rPr>
              <w:t>序号</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lang w:val="en-US" w:eastAsia="zh-CN" w:bidi="ar"/>
              </w:rPr>
              <w:t>单位名称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30"/>
                <w:szCs w:val="30"/>
                <w:u w:val="none"/>
                <w:lang w:val="en-US"/>
              </w:rPr>
            </w:pPr>
            <w:r>
              <w:rPr>
                <w:rFonts w:hint="eastAsia" w:ascii="方正黑体_GBK" w:hAnsi="方正黑体_GBK" w:eastAsia="方正黑体_GBK" w:cs="方正黑体_GBK"/>
                <w:i w:val="0"/>
                <w:iCs w:val="0"/>
                <w:color w:val="000000"/>
                <w:kern w:val="0"/>
                <w:sz w:val="30"/>
                <w:szCs w:val="30"/>
                <w:u w:val="none"/>
                <w:lang w:val="en-US" w:eastAsia="zh-CN" w:bidi="ar"/>
              </w:rPr>
              <w:t>拟评价等级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重庆华宇第一太平戴维斯物业服务集团有限公司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重庆津住汽车线束有限公司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重庆两江新区人才发展集团有限公司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中审众环会计师事务所（特殊普通合伙）重庆分所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联伟汽车零部件（重庆）有限公司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上海埃驰汽车零部件有限公司重庆分公司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攀中伊红金属制品（重庆）有限责任公司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重庆方腾律师事务所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君任（重庆）城市环境服务有限公司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重庆忆享科技有限公司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重庆洪源建筑集团有限公司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新安洁智能环境技术服务股份有限公司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重庆市建永工程监理有限公司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重庆安全产业发展集团有限公司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重庆赛夫保安服务有限公司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重庆轻纺资产管理有限公司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重庆广瀚文化传播有限公司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重庆佳爱骨科门诊部有限责任公司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中南建设集团有限公司重庆分公司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重庆桥达智慧生活服务集团有限公司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重庆维景酒店有限责任公司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重庆建工渝远建筑装饰有限公司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重庆龙景物业管理有限公司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重庆金禾人力资源管理有限公司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重庆市爱加物业管理服务有限公司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重庆安吉红岩物流有限公司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重庆安博汽车销售有限公司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漫住酒店管理（重庆）有限公司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重庆君汇汽车销售服务有限公司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重庆中汽西南思达汽车销售服务有限公司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重庆德邦园林设计工程有限公司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重庆拓普汽车部件有限公司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重庆市益康环保工程有限公司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重庆左岸环境服务股份有限公司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重庆迪雅康电子科技有限公司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重庆远见信息产业集团股份有限公司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重庆格林绿化设计建设股份有限公司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重庆达至锐新人力资源咨询有限公司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重庆市四通达天然气有限公司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重庆中特盾保安服务有限公司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重庆中汽西南当代汽车有限公司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重庆中豪汽车有限公司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重庆宝渝汽车销售服务（集团）有限公司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重庆高新璟沃汽车有限公司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重庆丰誉汽车有限公司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重庆长捷汽车销售服务有限公司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重庆西南富豪汽车有限公司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重庆万年智慧城市建设有限公司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重庆博展物业管理有限公司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重庆源宇建筑安装有限公司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重庆君凯酒店有限公司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重庆中汽西南美凯汽车有限公司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重庆宝钢汽车钢材部件有限公司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重庆博众辉锐汽车销售有限公司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重庆丰尚汽车销售有限公司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重庆星顺汽车有限公司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重庆中汽西南华通丰田汽车有限公司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重庆中汽西南凯旋汽车有限公司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重庆骊业汽车有限公司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重庆顺翔建筑工程有限公司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重庆兆邦汽车垫片有限责任公司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重庆市银雁金融配套服务有限公司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重庆市祥怡物业管理有限公司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福安药业集团庆余堂制药有限公司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重庆维普资讯有限公司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北京达文物业管理有限公司重庆分公司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重庆棕榈泉联英物业服务有限公司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重庆信科通信建设监理咨询有限公司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重庆北城医院有限责任公司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重庆八菱汽车配件有限责任公司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重庆融创物业管理有限公司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重庆顶正包材有限公司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重庆大江东阳塑料制品有限公司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重庆中汽西南本色汽车有限公司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重庆盛驰汽车有限公司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重庆和勤工程咨询有限公司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重庆鸳鸯园林工程有限公司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重庆易联数码科技股份有限公司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重庆金旋物业管理有限公司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重庆博众汽车销售服务有限公司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重庆枫林秀水物业管理有限公司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重庆市固体废弃物处理有限公司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重庆超力电器有限责任公司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重庆维格实业有限公司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重庆前卫科技集团有限公司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垚鑫工程项目管理有限公司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重庆北岸工业设备安装有限公司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重庆海泰管理服务有限公司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重庆泓山物业管理有限公司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重庆和勤会计师事务所有限公司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重庆信科通信工程有限公司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重庆理念科技有限公司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重庆华廷机动车检测有限公司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重庆海润节能技术股份有限公司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重庆巨龙印刷包装有限公司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重庆红星美凯龙世博家居生活广场有限责任公司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重庆恒申达资产评估土地房地产估价有限责任公司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重庆恒申达工程造价咨询有限公司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重庆信威通信技术有限责任公司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重庆安保集团有限责任公司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重庆力众企业管理咨询有限公司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重庆宝林文化发展有限公司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重庆恒美房地产开发有限公司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重庆和融房地产土地资产评估有限公司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重庆翔宇市政工程有限责任公司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重庆大观园环保科技有限公司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重庆威灵顿酒店管理有限公司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重庆锦煌智能控制工程有限公司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重庆耐德自动化技术有限公司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重庆德蚨乐机械制造有限公司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重庆富源人力资源管理服务有限公司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重庆人和园林工程有限公司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宁波杰博人力资源有限公司重庆分公司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重庆聚信美家居有限公司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重庆信通资产评估土地房地产估价有限公司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重庆泓展建设工程咨询有限公司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重庆元贯通信工程有限公司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重庆卓典建设工程有限公司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重庆恒美雅苑物业管理有限公司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重庆凌达压缩机有限公司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重庆新华传媒有限公司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重庆友权劳务有限公司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重庆启程人力资源管理有限公司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重庆博凯知识产权代理有限公司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重庆香江财富商业管理有限公司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重庆同汇勘测规划有限公司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重庆同盟建设工程有限公司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重庆荣耀文化传播有限公司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重庆市康绿环境服务有限公司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重庆宝茵园林养护工程有限公司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重庆市鸿坤伟业爆破工程有限公司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重庆荟茗茶业有限公司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重庆暄洁再生资源利用有限公司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重庆齐尔美瑞名家汇市场管理有限公司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重庆市伊可莎大酒店有限责任公司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宁波杰博人力资源有限公司重庆北部新区分公司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重庆新适时厨卫用品有限公司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重庆市新洋医疗科技发展有限公司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重庆奇艺天下科技有限公司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重庆和福庭商业管理有限公司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重庆隆天建设（集团）有限公司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白城市云鹏网络服务有限公司两江新区分公司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重庆北部妇产医院有限公司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重庆赛通环卫有限公司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重庆市水域环境有限公司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重庆华地空间科技有限公司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重庆互冠建设有限公司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重庆铭医堂医院有限公司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重庆宝创汽车销售服务有限公司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重庆德而瑞人力资源管理有限公司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重庆市大明汽车电器有限公司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重庆金渝建设工程有限公司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重庆旭原天澄物业管理有限公司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重庆康达环保产业（集团）有限公司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重庆莘默达科技有限公司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重庆锦绣山庄网络物业服务有限公司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中移铁通有限公司重庆分公司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重庆高金实业股份有限公司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第一太平融科物业管理（北京）有限公司重庆分公司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重庆赛迪热工环保工程技术有限公司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李尔长安（重庆）汽车系统有限责任公司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重庆尚博汽车有限公司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重庆全景隧道工程有限公司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富铂（重庆）化工有限公司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重庆美达化工产品有限公司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重庆西奥车用材料有限公司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重庆三弓汽车零部件有限公司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重庆金科美利山物业服务有限公司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重庆中汽西南汽车服务连锁有限公司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重庆云开物业管理有限公司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重庆奥林教育科技集团有限公司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国动网络通信集团重庆有限公司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重庆瑞利通供应链管理有限公司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重庆珏盛教育科技有限公司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重庆京础科技有限公司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重庆铭博医院有限公司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华安证券股份有限公司重庆分公司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中英智慧教育科技股份公司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重庆恩和药房有限公司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重庆众策源科技有限公司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砂之船商业管理集团有限公司重庆分公司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重庆市丝美域企业管理咨询有限公司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重庆万化源人力资源有限公司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重庆玫瑰馨苑母婴护理服务有限公司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重庆柏楠科技有限公司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水帘洞（重庆）科技有限公司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重庆恒承瑶工程造价咨询有限公司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重庆镁冠网络科技有限公司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重庆味澜餐饮管理有限责任公司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重庆佑骁建筑劳务有限公司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重庆市通欧质检技术服务有限公司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重庆海泰保安服务有限公司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重庆三得商业管理有限公司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重庆两江新区君廷艺术培训有限公司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重庆恒腾测绘有限公司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重庆新智坊智慧教育科技有限公司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重庆非屋装配式建筑技术有限公司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重庆义家亲蔬菜配送有限公司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重庆望山栖酒店管理有限公司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重庆坤世好洲商贸有限公司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重庆骏博行汽车销售服务有限公司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重庆奥园医院有限公司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重庆新卓盛企业管理有限公司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重庆三狼商业管理有限公司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重庆婴乐坊母婴护理服务有限公司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重庆爱责慧科技有限公司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重庆双翼物流有限责任公司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中天成建筑工程管理咨询（北京）有限公司重庆分公司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重庆两江新区协尔口腔门诊部有限责任公司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重庆两江新区美昱嘉创艺术培训有限公司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重庆来坤建设工程咨询有限公司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重庆中朗佳网络科技有限公司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重庆昱哲商贸有限责任公司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重庆圣玮实业发展有限公司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中澜认证有限公司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重庆迅智建筑工程咨询有限公司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重庆厚泽苍生物业管理发展有限责任公司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新中天环保工程（重庆）有限公司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重庆博图酒店管理有限公司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重庆二十八度颐和体育发展有限公司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重庆天酬物业管理有限公司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上海勘察设计研究院（集团）股份有限公司重庆分公司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重庆大盘手网络科技有限公司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重庆旭昌消防安全技术有限公司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嘉贤优汇（重庆）人力资源外包服务有限责任公司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重庆趣见科技有限公司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重庆德森口腔诊所有限公司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重庆亿启诚科技有限公司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重庆两江新区红星美凯龙商业管理有限公司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重庆高科集团有限公司酒店分公司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重庆睿珈文化传播有限公司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中安国保（重庆）保安服务有限公司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麦德龙商业集团有限公司重庆两江新区商场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重庆智谦通科技有限公司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重庆策御家具有限公司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重庆海旭风行汽车销售服务有限公司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重庆佳诺口腔诊所管理有限公司星光大道诊所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重庆格意新知科技有限公司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重庆勤聪科技有限公司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重庆同诚工程项目管理咨询有限公司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重庆凯瑞传动技术有限公司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重庆前卫表业有限公司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海华（重庆）税务师事务所有限公司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中再生双江环卫有限公司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闻康集团（重庆）科技有限公司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重庆世纪同辉实业有限公司世纪同辉大酒店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重庆豪韵实业有限公司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重庆凯瑞动力科技有限公司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重庆市国能矿业权资产评估有限公司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重庆半云半月酒店管理有限公司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重庆市泰安驾驶培训有限公司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重庆飞畅逸行国际旅行社有限公司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重庆常有乐健康管理有限公司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重庆中源绿蓝智慧能源集团有限公司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中国石油天然气股份有限公司重庆两江新区销售分公司龙头寺加油站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重庆瑜芮实业有限公司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重庆沃美影城有限责任公司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深圳市华侨城国际酒店管理有限公司重庆分公司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锐仕广捷（重庆）人力资源管理咨询有限公司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重庆渝豪仕现代服务业发展有限公司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重庆路伯伯文化传播有限公司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重庆华筑建筑设计集团有限公司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淇澳同辉工程咨询集团有限公司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瀚华金控股份有限公司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重庆西正建设集团有限公司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重庆市日用化学工业研究所有限责任公司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重庆金童佳儿童医院有限公司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重庆依可达人力资源管理有限公司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重庆优必达人力资源服务有限公司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重庆盈辉人力资源管理有限公司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重庆闻康人才服务有限公司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重庆思存人力资源管理有限公司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重庆顺泰保安服务有限公司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重庆机电控股集团信博投资管理有限公司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重庆巨朗物业管理有限公司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重庆雅之升商贸有限公司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重庆珏盛智能科技有限公司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重庆华奥电梯销售有限公司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重庆九仁贸易有限公司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重庆并连网络科技有限公司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重庆优力能热力设备有限公司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重庆联数达科技有限公司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重庆万同律师事务所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保利（重庆）投资实业有限公司酒店管理分公司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中汽院智能网联科技有限公司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重庆智银博元工程造价咨询有限公司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国电投核安科技（重庆）有限公司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重庆泰阳天商贸有限公司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重庆齐尔美瑞商业管理有限公司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华联世纪工程咨询股份有限公司重庆分公司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重庆佳仕铂雅酒店管理有限公司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重庆鼎欣报关服务有限公司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东软集团重庆有限公司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重庆琥珀企业管理咨询有限公司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重庆两江之上餐饮文化有限公司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重庆奥黛丽实业集团有限公司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重庆诗礼艺文化传媒有限公司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重庆春色保安服务有限公司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麦趣（重庆）托育服务有限公司两江新区分公司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重庆汽博实业有限公司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中国四海工程公司重庆有限公司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华邦生命健康股份有限公司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云栖乐程国际旅行社重庆有限公司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重庆创浚物业管理有限公司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重庆三色园林建设有限公司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重庆铭医堂医院有限公司锦橙路分公司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重庆金科大酒店有限公司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重庆宝瑞物业服务有限公司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重庆爱欢娱乐有限责任公司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重庆两江新区杰思艺术培训中心有限公司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新权益网络科技（重庆）有限公司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重庆邦仕仕航科技有限公司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重庆弘玑隆程科技有限公司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重庆誉达汽车销售服务有限公司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重庆云选科技有限公司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重庆全星体育文化推广有限公司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重庆恒泽供应链管理有限公司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重庆俏巴渝茂宴餐饮有限公司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重庆斯启诺诊所管理有限公司金州大道诊所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重庆努豆餐饮管理有限公司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重庆铭医堂医院有限公司鸳鸯分公司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重庆缘宝家政服务有限公司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重庆两江新区闻康金佳职业技能培训学校有限公司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重庆铭医堂诊所管理连锁有限公司两江新区第一分公司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重庆苏协信息科技有限公司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重庆悦聆口腔门诊有限公司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黑鸟（重庆）汽车维修有限公司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华怡康硕量子科技重庆有限公司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四川大诚建筑工程有限公司重庆分公司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重庆赛逸腾科技有限公司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重庆红兰生诊所管理有限公司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重庆天禄贸易有限公司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重庆路海建设有限公司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重庆星宏汽车维修有限公司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重庆岁月静浩文化传播有限公司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重庆破与立企业咨询有限公司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成都建工第三建筑工程有限公司重庆分公司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重庆菲芒科技有限公司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重庆佳洲建筑工程有限公司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中国石化销售股份有限公司重庆石油分公司金童路加油站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重庆康福源医疗管理有限公司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重庆天府泓胜餐饮管理有限公司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上海车享家汽车科技服务有限公司重庆天吉路分公司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重庆蓝北人家餐饮管理有限公司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重庆两江新区舞艺心星双馨艺术培训有限公司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重庆嘉泰合建设有限公司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重庆二郎岗餐饮管理有限公司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重庆珝珅商业管理有限公司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重庆卓璟律师事务所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天健会计师事务所（特殊普通合伙）重庆分所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重庆妈咪的吻母婴护理有限公司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重庆哲仑人力资源服务有限公司两江新区分公司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重庆天外天生物技术有限公司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重庆大数据研究院有限公司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重庆利荣物业管理有限公司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重庆两江新区软通动力科技有限公司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大华会计师事务所（特殊普通合伙）重庆分所</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重庆山姆会员商店有限公司两江新区店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重庆盈田会议服务有限公司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中文教育科技（重庆）有限公司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重庆超力高科技股份有限公司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重庆两江新区名贝幼儿园</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重庆安益建筑工程有限公司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重庆德佳林汽车有限公司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重庆威琅人力资源服务有限公司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重庆两江新区天赋宝贝幼儿园</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重庆华侨城实业发展有限公司欢乐谷旅游分公司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重庆盈田酒店管理有限公司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重庆睿博光电股份有限公司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重庆正泽汽车零部件有限公司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重庆景通汽车服务有限公司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重庆金翰会计师事务所有限公司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重庆智能网联汽车科技创新孵化有限公司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重庆天极网络有限公司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重庆艺华建设工程集团有限公司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重庆新仁和压铸有限公司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重庆百益人力资源管理咨询有限公司两江新区分公司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重庆润通建筑工程有限公司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重庆耐德智联科技有限公司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重庆爱思特优选整形美容医院有限公司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重庆尚唯信息技术有限公司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重庆两江新区产城建设有限公司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重庆创筑技准建筑设计有限公司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重庆楚江建设工程咨询有限公司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重庆舒清节能环保科技有限公司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江苏新泉汽车饰件股份有限公司重庆分公司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重庆雾渡惠车汽车经纪有限公司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重庆珈旭道路工程有限公司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重庆华夏生态环境建设（集团）有限公司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重庆镕点智能科技有限公司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重庆华宇优家生活服务有限公司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重庆市基础工程有限公司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悦橙（重庆）商业管理有限公司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重庆市锦正园林绿化有限公司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重庆君瑞世家装饰工程设计有限公司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重庆慧智林业发展有限公司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江苏中南建筑产业集团有限责任公司重庆分公司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重庆狼途汽车维修服务有限公司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重庆众夏科技有限公司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重庆众享美生物科技有限公司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重庆赛科机电技术服务有限公司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重庆嘉辰文旅发展有限公司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重庆北极光科技有限公司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北京金萌泰医院管理集团有限公司重庆分公司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重庆磐达机械有限公司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重庆赛达科技有限公司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路桥建设重庆丰涪高速公路发展有限公司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重庆慧易实业发展有限责任公司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重庆海通运输有限公司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车知路（重庆）交通科技有限公司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重庆同驰实业有限公司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重庆镝谱智能科技有限公司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重庆惠家通信息技术有限公司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重庆高汇置业有限公司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重庆双活云计算科技有限公司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中科天翼导航技术有限公司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重庆洛唐信息技术有限公司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重庆恒锦物业服务有限责任公司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重庆市嘉陵建筑工程公司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重庆泛语科技有限公司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重庆金宝瑞艺术培训有限公司两江新区二分公司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重庆畅思人力资源管理有限公司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重庆领旗人力资源管理有限公司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重庆尚书坊教育信息咨询服务有限公司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重庆市锐可锋企业管理咨询有限公司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重庆善信正智人力资源（集团）有限公司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重庆嘉松地基基础工程有限公司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重庆市斯卡伊物业服务有限公司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重庆腾派电力工程技术有限公司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重庆望高工程项目管理有限公司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重庆东钦仕国际贸易有限公司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重庆乾安建设工程有限公司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重庆天骥人力资源服务有限公司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重庆万格人力资源管理有限公司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重庆力华自动化技术有限责任公司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聚谷（重庆）大健康管理有限责任公司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重庆极速广告图文有限公司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重庆江涵物业管理有限公司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惠联（福建）保安有限公司重庆分公司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重庆任我在线科技服务有限公司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重庆浩林道路养护有限公司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重庆韦恩园林景观工程有限公司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重庆凯煌汽车销售有限公司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重庆市藤图信息技术服务有限公司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新疆北新路桥集团股份有限公司重庆分公司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重庆金钻建筑装饰设计工程有限公司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重庆德泽景观园林工程有限公司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重庆宸北建设工程有限公司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重庆渝高物业管理有限责任公司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重庆图强工程技术咨询有限公司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重庆膳源汇农业发展有限公司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重庆尚优科技有限公司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重庆唐卡装饰工程集团有限公司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重庆大江建设工程集团有限公司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重庆嘉逊建筑营造工程有限公司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重庆年年好饮食文化有限公司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重庆安礼华粤企业管理有限公司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重庆格美装饰工程有限责任公司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深圳市建恒源工程造价咨询有限公司重庆分公司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北京爱奇艺科技有限公司重庆分公司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重庆玖捌叁商贸有限公司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重庆瀚乐思信息技术有限公司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重庆聚都汽车配件有限公司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热麦传媒（重庆）有限公司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重庆渐开线信息技术有限公司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重庆维望高科技有限公司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重庆越来盛建筑劳务有限公司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重庆大先生教育科技集团有限公司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重庆市渝中区艺鑫光芒艺术培训中心有限公司两江新区分公司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重庆毛毛虫电子商务有限公司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重庆图家装饰工程有限公司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重庆优无界教育科技集团有限公司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重庆宜而居环境科技有限公司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重庆安柏尔医疗美容有限公司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益口佳（重庆）口腔诊所管理有限公司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重庆天使渡文化传媒有限责任公司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重庆云尚隐实业有限公司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重庆第九极科技有限公司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重庆南嘉文木牛汽车服务有限公司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重庆帅鑫物流有限公司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重庆轩进软件有限公司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重庆森奇体育赛事策划有限责任公司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重庆市十米家宴餐饮管理有限公司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重庆华姿装饰工程有限公司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重庆馨雅生态环境建设有限公司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重庆安鑫拍拍卖有限公司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重庆新光互动科技有限公司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重庆山海平医疗科技有限公司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重庆隆盛源汽车销售服务有限公司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重庆安必优电梯工程有限公司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重庆美佳姆文化传播有限公司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重庆菜宠餐饮管理有限责任公司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重庆菜榜食品科技有限公司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重庆怡歆轩网络科技有限公司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未科探索（重庆）科技有限公司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重庆博汇知识产权代理有限公司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重庆爽滋爽食品有限公司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重庆聚鑫达汽车租赁有限公司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重庆市钰霖乔氏台球用品有限公司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重庆星胜新能源科技有限公司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重庆坝上牛都农产品有限公司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重庆渝怀企业管理集团有限公司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重庆京世胜天供应链管理有限公司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重庆常平信息技术有限公司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埃斯希（重庆）科技有限公司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重庆悦湖健康管理有限公司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重庆索利特实业集团有限公司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重庆九川体育文化发展有限公司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重庆瑞诚上品科技有限公司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京洲联信（重庆）税务师事务所有限公司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重庆文璟家居有限公司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重庆财精装饰工程有限公司两江新区分公司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重庆玛库鲁体育文化发展有限公司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重庆盛豪与佳餐饮管理有限公司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重庆优选君科技有限公司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重庆大鼎景观雕塑有限公司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重庆市企赢融企业咨询管理有限公司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重庆守财保企业管理咨询有限公司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重庆英特建筑装饰设计工程有限公司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重庆律腾商务信息咨询有限公司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重庆俏业家装饰工程有限公司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522</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重庆奇趣空间科技有限公司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523</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重庆金科房地产开发有限公司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524</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重庆市宏生水电设备安装有限公司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525</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重庆市中洋建设工程有限公司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526</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重庆蓝湛湛建设发展有限公司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527</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重庆兄弟装饰工程有限公司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528</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重庆天安生物科技有限公司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529</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重庆点醒慧客文化传媒有限公司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530</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企法邦（重庆）科技有限公司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531</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深圳天亿装饰工程有限公司重庆分公司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C</w:t>
            </w:r>
          </w:p>
        </w:tc>
      </w:tr>
    </w:tbl>
    <w:p>
      <w:pPr>
        <w:adjustRightInd w:val="0"/>
        <w:snapToGrid w:val="0"/>
        <w:spacing w:line="579" w:lineRule="exact"/>
        <w:jc w:val="center"/>
        <w:rPr>
          <w:rFonts w:hint="eastAsia" w:ascii="方正楷体_GBK" w:hAnsi="方正楷体_GBK" w:eastAsia="方正楷体_GBK" w:cs="方正楷体_GBK"/>
          <w:i w:val="0"/>
          <w:iCs w:val="0"/>
          <w:caps w:val="0"/>
          <w:color w:val="333333"/>
          <w:spacing w:val="0"/>
          <w:sz w:val="32"/>
          <w:szCs w:val="32"/>
          <w:shd w:val="clear" w:color="auto" w:fill="FFFFFF"/>
        </w:rPr>
      </w:pPr>
    </w:p>
    <w:p>
      <w:pPr>
        <w:adjustRightInd w:val="0"/>
        <w:snapToGrid w:val="0"/>
        <w:spacing w:line="579" w:lineRule="exact"/>
        <w:rPr>
          <w:rFonts w:ascii="Times New Roman" w:hAnsi="Times New Roman" w:eastAsia="方正小标宋_GBK"/>
          <w:sz w:val="44"/>
          <w:szCs w:val="44"/>
        </w:rPr>
      </w:pPr>
    </w:p>
    <w:p/>
    <w:sectPr>
      <w:pgSz w:w="11906" w:h="16838"/>
      <w:pgMar w:top="1440" w:right="1797" w:bottom="1440" w:left="137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1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2024-10-23T08:10:12Z</dcterms:created>
  <dc:creator>HP</dc:creator>
  <cp:lastModifiedBy>HP</cp:lastModifiedBy>
  <dcterms:modified xsi:type="dcterms:W3CDTF">2024-10-23T08:10:57Z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72FC5E7CA4D4422C8A06724DF05221FA</vt:lpwstr>
  </property>
</Properties>
</file>