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ind w:firstLine="640" w:firstLineChars="200"/>
        <w:rPr>
          <w:rFonts w:ascii="方正小标宋_GBK" w:hAnsi="方正小标宋_GBK" w:eastAsia="方正小标宋_GBK" w:cs="方正小标宋_GBK"/>
          <w:sz w:val="44"/>
          <w:szCs w:val="44"/>
        </w:rPr>
      </w:pPr>
      <w:r>
        <w:rPr>
          <w:rFonts w:hint="eastAsia" w:ascii="方正黑体_GBK" w:hAnsi="方正小标宋_GBK" w:eastAsia="方正黑体_GBK" w:cs="方正小标宋_GBK"/>
          <w:szCs w:val="32"/>
        </w:rPr>
        <w:t>二十、救灾领域基层政务公开标准目录</w:t>
      </w:r>
    </w:p>
    <w:tbl>
      <w:tblPr>
        <w:tblStyle w:val="5"/>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46"/>
        <w:gridCol w:w="651"/>
        <w:gridCol w:w="3056"/>
        <w:gridCol w:w="1317"/>
        <w:gridCol w:w="1075"/>
        <w:gridCol w:w="1118"/>
        <w:gridCol w:w="2774"/>
        <w:gridCol w:w="594"/>
        <w:gridCol w:w="637"/>
        <w:gridCol w:w="594"/>
        <w:gridCol w:w="637"/>
        <w:gridCol w:w="80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425" w:type="dxa"/>
            <w:vMerge w:val="restart"/>
            <w:vAlign w:val="center"/>
          </w:tcPr>
          <w:p>
            <w:pPr>
              <w:overflowPunct w:val="0"/>
              <w:snapToGrid w:val="0"/>
              <w:spacing w:line="240" w:lineRule="exact"/>
              <w:jc w:val="left"/>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序号</w:t>
            </w:r>
          </w:p>
        </w:tc>
        <w:tc>
          <w:tcPr>
            <w:tcW w:w="1197" w:type="dxa"/>
            <w:gridSpan w:val="2"/>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公开事项</w:t>
            </w:r>
          </w:p>
        </w:tc>
        <w:tc>
          <w:tcPr>
            <w:tcW w:w="3056" w:type="dxa"/>
            <w:vMerge w:val="restart"/>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公开内容</w:t>
            </w:r>
            <w:r>
              <w:rPr>
                <w:rFonts w:hint="eastAsia" w:ascii="方正黑体_GBK" w:hAnsi="方正黑体_GBK" w:eastAsia="方正黑体_GBK" w:cs="方正黑体_GBK"/>
                <w:color w:val="000000" w:themeColor="text1"/>
                <w:kern w:val="0"/>
                <w:sz w:val="18"/>
                <w:szCs w:val="18"/>
                <w14:textFill>
                  <w14:solidFill>
                    <w14:schemeClr w14:val="tx1"/>
                  </w14:solidFill>
                </w14:textFill>
              </w:rPr>
              <w:br w:type="textWrapping"/>
            </w:r>
            <w:r>
              <w:rPr>
                <w:rFonts w:hint="eastAsia" w:ascii="方正黑体_GBK" w:hAnsi="方正黑体_GBK" w:eastAsia="方正黑体_GBK" w:cs="方正黑体_GBK"/>
                <w:color w:val="000000" w:themeColor="text1"/>
                <w:kern w:val="0"/>
                <w:sz w:val="18"/>
                <w:szCs w:val="18"/>
                <w14:textFill>
                  <w14:solidFill>
                    <w14:schemeClr w14:val="tx1"/>
                  </w14:solidFill>
                </w14:textFill>
              </w:rPr>
              <w:t>(要素)</w:t>
            </w:r>
          </w:p>
        </w:tc>
        <w:tc>
          <w:tcPr>
            <w:tcW w:w="1317" w:type="dxa"/>
            <w:vMerge w:val="restart"/>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公开依据</w:t>
            </w:r>
          </w:p>
        </w:tc>
        <w:tc>
          <w:tcPr>
            <w:tcW w:w="1075" w:type="dxa"/>
            <w:vMerge w:val="restart"/>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w:t>
            </w:r>
            <w:r>
              <w:rPr>
                <w:rFonts w:hint="eastAsia" w:ascii="方正黑体_GBK" w:hAnsi="方正黑体_GBK" w:eastAsia="方正黑体_GBK" w:cs="方正黑体_GBK"/>
                <w:color w:val="000000" w:themeColor="text1"/>
                <w:kern w:val="0"/>
                <w:sz w:val="18"/>
                <w:szCs w:val="18"/>
                <w14:textFill>
                  <w14:solidFill>
                    <w14:schemeClr w14:val="tx1"/>
                  </w14:solidFill>
                </w14:textFill>
              </w:rPr>
              <w:br w:type="textWrapping"/>
            </w:r>
            <w:r>
              <w:rPr>
                <w:rFonts w:hint="eastAsia" w:ascii="方正黑体_GBK" w:hAnsi="方正黑体_GBK" w:eastAsia="方正黑体_GBK" w:cs="方正黑体_GBK"/>
                <w:color w:val="000000" w:themeColor="text1"/>
                <w:kern w:val="0"/>
                <w:sz w:val="18"/>
                <w:szCs w:val="18"/>
                <w14:textFill>
                  <w14:solidFill>
                    <w14:schemeClr w14:val="tx1"/>
                  </w14:solidFill>
                </w14:textFill>
              </w:rPr>
              <w:t>时限</w:t>
            </w:r>
          </w:p>
        </w:tc>
        <w:tc>
          <w:tcPr>
            <w:tcW w:w="1118" w:type="dxa"/>
            <w:vMerge w:val="restart"/>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w:t>
            </w:r>
            <w:r>
              <w:rPr>
                <w:rFonts w:hint="eastAsia" w:ascii="方正黑体_GBK" w:hAnsi="方正黑体_GBK" w:eastAsia="方正黑体_GBK" w:cs="方正黑体_GBK"/>
                <w:color w:val="000000" w:themeColor="text1"/>
                <w:kern w:val="0"/>
                <w:sz w:val="18"/>
                <w:szCs w:val="18"/>
                <w14:textFill>
                  <w14:solidFill>
                    <w14:schemeClr w14:val="tx1"/>
                  </w14:solidFill>
                </w14:textFill>
              </w:rPr>
              <w:br w:type="textWrapping"/>
            </w:r>
            <w:r>
              <w:rPr>
                <w:rFonts w:hint="eastAsia" w:ascii="方正黑体_GBK" w:hAnsi="方正黑体_GBK" w:eastAsia="方正黑体_GBK" w:cs="方正黑体_GBK"/>
                <w:color w:val="000000" w:themeColor="text1"/>
                <w:kern w:val="0"/>
                <w:sz w:val="18"/>
                <w:szCs w:val="18"/>
                <w14:textFill>
                  <w14:solidFill>
                    <w14:schemeClr w14:val="tx1"/>
                  </w14:solidFill>
                </w14:textFill>
              </w:rPr>
              <w:t>主体</w:t>
            </w:r>
          </w:p>
        </w:tc>
        <w:tc>
          <w:tcPr>
            <w:tcW w:w="2774" w:type="dxa"/>
            <w:vMerge w:val="restart"/>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公开渠道和载体</w:t>
            </w:r>
          </w:p>
        </w:tc>
        <w:tc>
          <w:tcPr>
            <w:tcW w:w="1231" w:type="dxa"/>
            <w:gridSpan w:val="2"/>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公开对象</w:t>
            </w:r>
          </w:p>
        </w:tc>
        <w:tc>
          <w:tcPr>
            <w:tcW w:w="1231" w:type="dxa"/>
            <w:gridSpan w:val="2"/>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公开方式</w:t>
            </w:r>
          </w:p>
        </w:tc>
        <w:tc>
          <w:tcPr>
            <w:tcW w:w="1627" w:type="dxa"/>
            <w:gridSpan w:val="2"/>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blHeader/>
          <w:jc w:val="center"/>
        </w:trPr>
        <w:tc>
          <w:tcPr>
            <w:tcW w:w="425" w:type="dxa"/>
            <w:vMerge w:val="continue"/>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p>
        </w:tc>
        <w:tc>
          <w:tcPr>
            <w:tcW w:w="546"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一级   事项</w:t>
            </w:r>
          </w:p>
        </w:tc>
        <w:tc>
          <w:tcPr>
            <w:tcW w:w="651"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二级       事项</w:t>
            </w:r>
          </w:p>
        </w:tc>
        <w:tc>
          <w:tcPr>
            <w:tcW w:w="3056" w:type="dxa"/>
            <w:vMerge w:val="continue"/>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p>
        </w:tc>
        <w:tc>
          <w:tcPr>
            <w:tcW w:w="1317" w:type="dxa"/>
            <w:vMerge w:val="continue"/>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p>
        </w:tc>
        <w:tc>
          <w:tcPr>
            <w:tcW w:w="1075" w:type="dxa"/>
            <w:vMerge w:val="continue"/>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p>
        </w:tc>
        <w:tc>
          <w:tcPr>
            <w:tcW w:w="1118" w:type="dxa"/>
            <w:vMerge w:val="continue"/>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p>
        </w:tc>
        <w:tc>
          <w:tcPr>
            <w:tcW w:w="2774" w:type="dxa"/>
            <w:vMerge w:val="continue"/>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p>
        </w:tc>
        <w:tc>
          <w:tcPr>
            <w:tcW w:w="594"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全</w:t>
            </w:r>
          </w:p>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社会</w:t>
            </w:r>
          </w:p>
        </w:tc>
        <w:tc>
          <w:tcPr>
            <w:tcW w:w="637"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特定</w:t>
            </w:r>
          </w:p>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群体</w:t>
            </w:r>
          </w:p>
        </w:tc>
        <w:tc>
          <w:tcPr>
            <w:tcW w:w="594"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主动公开</w:t>
            </w:r>
          </w:p>
        </w:tc>
        <w:tc>
          <w:tcPr>
            <w:tcW w:w="637"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依申请公开</w:t>
            </w:r>
          </w:p>
        </w:tc>
        <w:tc>
          <w:tcPr>
            <w:tcW w:w="802"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区县级</w:t>
            </w:r>
          </w:p>
        </w:tc>
        <w:tc>
          <w:tcPr>
            <w:tcW w:w="825" w:type="dxa"/>
            <w:vAlign w:val="center"/>
          </w:tcPr>
          <w:p>
            <w:pPr>
              <w:overflowPunct w:val="0"/>
              <w:snapToGrid w:val="0"/>
              <w:spacing w:line="240" w:lineRule="exact"/>
              <w:jc w:val="center"/>
              <w:rPr>
                <w:rFonts w:ascii="方正黑体_GBK" w:hAnsi="方正黑体_GBK" w:eastAsia="方正黑体_GBK" w:cs="方正黑体_GBK"/>
                <w:color w:val="000000" w:themeColor="text1"/>
                <w:kern w:val="0"/>
                <w:sz w:val="18"/>
                <w:szCs w:val="18"/>
                <w14:textFill>
                  <w14:solidFill>
                    <w14:schemeClr w14:val="tx1"/>
                  </w14:solidFill>
                </w14:textFill>
              </w:rPr>
            </w:pPr>
            <w:r>
              <w:rPr>
                <w:rFonts w:hint="eastAsia" w:ascii="方正黑体_GBK" w:hAnsi="方正黑体_GBK" w:eastAsia="方正黑体_GBK" w:cs="方正黑体_GBK"/>
                <w:color w:val="000000" w:themeColor="text1"/>
                <w:kern w:val="0"/>
                <w:sz w:val="18"/>
                <w:szCs w:val="18"/>
                <w14:textFill>
                  <w14:solidFill>
                    <w14:schemeClr w14:val="tx1"/>
                  </w14:solidFill>
                </w14:textFill>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w:t>
            </w:r>
          </w:p>
        </w:tc>
        <w:tc>
          <w:tcPr>
            <w:tcW w:w="546" w:type="dxa"/>
            <w:vMerge w:val="restart"/>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政策文件</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法律法规</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与救灾有关的法律、法规</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w w:val="9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2</w:t>
            </w:r>
          </w:p>
        </w:tc>
        <w:tc>
          <w:tcPr>
            <w:tcW w:w="546" w:type="dxa"/>
            <w:vMerge w:val="continue"/>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部门和地方规章</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与救灾有关的部门和地方规章、规范性文件</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3</w:t>
            </w:r>
          </w:p>
        </w:tc>
        <w:tc>
          <w:tcPr>
            <w:tcW w:w="546" w:type="dxa"/>
            <w:vMerge w:val="restart"/>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政策文件</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其他政策文件</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其他可以公开的与救灾有关的政策文件，包括改革方案、发展规划、专项规划、工作计划等</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4</w:t>
            </w:r>
          </w:p>
        </w:tc>
        <w:tc>
          <w:tcPr>
            <w:tcW w:w="546" w:type="dxa"/>
            <w:vMerge w:val="continue"/>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标准</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救灾领域有关的国家标准、行业标准、地方标准等</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5</w:t>
            </w:r>
          </w:p>
        </w:tc>
        <w:tc>
          <w:tcPr>
            <w:tcW w:w="546" w:type="dxa"/>
            <w:vMerge w:val="continue"/>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重大决策草案</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涉及管理相对人切身利益、需社会广泛知晓的重要改革方案等重大决策，决策前向社会公开决策草案、决策依据</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2.中央办公厅、国务院办公厅《关于全面推进政务公开工作的意见》。</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按进展情况及时公开</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6</w:t>
            </w:r>
          </w:p>
        </w:tc>
        <w:tc>
          <w:tcPr>
            <w:tcW w:w="546" w:type="dxa"/>
            <w:vMerge w:val="restart"/>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政策文件</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重大政策解读及回应</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1.有关重大政策的解读及回应；                       2.相关热点问题的解读及回应。</w:t>
            </w:r>
          </w:p>
        </w:tc>
        <w:tc>
          <w:tcPr>
            <w:tcW w:w="1317"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2.中央办公厅、国务院办公厅《关于全面推进政务公开工作的意见》；          3.《国务院办公厅关于在政务公开工作中进一步做好政务舆情回应的通知》（国办发〔2016〕61号）。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重大决策作出后及时公开</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7</w:t>
            </w:r>
          </w:p>
        </w:tc>
        <w:tc>
          <w:tcPr>
            <w:tcW w:w="546" w:type="dxa"/>
            <w:vMerge w:val="continue"/>
            <w:vAlign w:val="center"/>
          </w:tcPr>
          <w:p>
            <w:pPr>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重要会议</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以会议讨论作出重要改革方案等重大决策时，经党组研究认为有必要公开讨论决策过程的会议</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2.中央办公厅、国务院办公厅《关于全面推进政务公开工作的意见》。</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提前一周发通知邀请</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8</w:t>
            </w:r>
          </w:p>
        </w:tc>
        <w:tc>
          <w:tcPr>
            <w:tcW w:w="546"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政策文件</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征集采纳社会公众意见情况</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重大决策草案公布后征集到的社会公众意见情况、采纳与否情况及理由等</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w:t>
            </w:r>
          </w:p>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2.中央办公厅、国务院办公厅《关于全面推进政务公开工作的意见》。</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征求意见时对外公布的时限内公开</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9</w:t>
            </w:r>
          </w:p>
        </w:tc>
        <w:tc>
          <w:tcPr>
            <w:tcW w:w="546"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备灾管理</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综合减灾示范社区</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综合减灾示范社区分布情况（其具体位置、创建时间、创建级别等）</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w:t>
            </w:r>
          </w:p>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2.《社会救助暂行办法》（2014）；           3.《国家综合防灾减灾规（2016-2020年）》。</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10</w:t>
            </w:r>
          </w:p>
        </w:tc>
        <w:tc>
          <w:tcPr>
            <w:tcW w:w="546" w:type="dxa"/>
            <w:vMerge w:val="restart"/>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备灾管理</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灾害信息员队伍</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县乡两级灾害信息员工作职责和办公电话</w:t>
            </w:r>
          </w:p>
        </w:tc>
        <w:tc>
          <w:tcPr>
            <w:tcW w:w="1317"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2.《社会救助暂行办法》（2014）；           3.《国家综合防灾减灾规划（2016-2020年）》。</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11</w:t>
            </w:r>
          </w:p>
        </w:tc>
        <w:tc>
          <w:tcPr>
            <w:tcW w:w="546" w:type="dxa"/>
            <w:vMerge w:val="continue"/>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预警信息</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气象、地震等单位发布的预警信息</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w:t>
            </w:r>
          </w:p>
        </w:tc>
        <w:tc>
          <w:tcPr>
            <w:tcW w:w="2774"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12</w:t>
            </w:r>
          </w:p>
        </w:tc>
        <w:tc>
          <w:tcPr>
            <w:tcW w:w="546"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灾后救助</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灾情核定信息</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本行政区域内因自然灾害造成的损失情况（受灾时间、灾害种类、受灾范围、灾害造成的损失等）</w:t>
            </w:r>
          </w:p>
        </w:tc>
        <w:tc>
          <w:tcPr>
            <w:tcW w:w="1317"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w:t>
            </w:r>
            <w:bookmarkStart w:id="0" w:name="_GoBack"/>
            <w:bookmarkEnd w:id="0"/>
            <w:r>
              <w:rPr>
                <w:rFonts w:hint="eastAsia" w:ascii="方正仿宋_GBK" w:hAnsi="方正仿宋_GBK" w:cs="方正仿宋_GBK"/>
                <w:color w:val="000000"/>
                <w:kern w:val="0"/>
                <w:sz w:val="18"/>
                <w:szCs w:val="18"/>
                <w:lang w:eastAsia="zh-CN" w:bidi="ar"/>
              </w:rPr>
              <w:t>自然灾害救助条例</w:t>
            </w:r>
            <w:r>
              <w:rPr>
                <w:rFonts w:hint="eastAsia" w:ascii="方正仿宋_GBK" w:hAnsi="方正仿宋_GBK" w:cs="方正仿宋_GBK"/>
                <w:color w:val="000000"/>
                <w:kern w:val="0"/>
                <w:sz w:val="18"/>
                <w:szCs w:val="18"/>
                <w:lang w:bidi="ar"/>
              </w:rPr>
              <w:t>》（国务院令第577号）。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13</w:t>
            </w:r>
          </w:p>
        </w:tc>
        <w:tc>
          <w:tcPr>
            <w:tcW w:w="546" w:type="dxa"/>
            <w:vMerge w:val="restart"/>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灾后救助</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救助审定信息</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自然灾害救助（6类）的救助对象、申报材料、办理程序及时限等</w:t>
            </w:r>
          </w:p>
        </w:tc>
        <w:tc>
          <w:tcPr>
            <w:tcW w:w="1317"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w:t>
            </w:r>
            <w:r>
              <w:rPr>
                <w:rFonts w:hint="eastAsia" w:ascii="方正仿宋_GBK" w:hAnsi="方正仿宋_GBK" w:cs="方正仿宋_GBK"/>
                <w:color w:val="000000"/>
                <w:kern w:val="0"/>
                <w:sz w:val="18"/>
                <w:szCs w:val="18"/>
                <w:lang w:eastAsia="zh-CN" w:bidi="ar"/>
              </w:rPr>
              <w:t>自然灾害救助条例</w:t>
            </w:r>
            <w:r>
              <w:rPr>
                <w:rFonts w:hint="eastAsia" w:ascii="方正仿宋_GBK" w:hAnsi="方正仿宋_GBK" w:cs="方正仿宋_GBK"/>
                <w:color w:val="000000"/>
                <w:kern w:val="0"/>
                <w:sz w:val="18"/>
                <w:szCs w:val="18"/>
                <w:lang w:bidi="ar"/>
              </w:rPr>
              <w:t>》（国务院令第577号）。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14</w:t>
            </w:r>
          </w:p>
        </w:tc>
        <w:tc>
          <w:tcPr>
            <w:tcW w:w="546" w:type="dxa"/>
            <w:vMerge w:val="continue"/>
            <w:vAlign w:val="center"/>
          </w:tcPr>
          <w:p>
            <w:pPr>
              <w:widowControl/>
              <w:spacing w:line="240" w:lineRule="exact"/>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应急管理部门审批</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救助款物通知及划拨情况</w:t>
            </w:r>
          </w:p>
        </w:tc>
        <w:tc>
          <w:tcPr>
            <w:tcW w:w="1317"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w:t>
            </w:r>
            <w:r>
              <w:rPr>
                <w:rFonts w:hint="eastAsia" w:ascii="方正仿宋_GBK" w:hAnsi="方正仿宋_GBK" w:cs="方正仿宋_GBK"/>
                <w:color w:val="000000"/>
                <w:kern w:val="0"/>
                <w:sz w:val="18"/>
                <w:szCs w:val="18"/>
                <w:lang w:eastAsia="zh-CN" w:bidi="ar"/>
              </w:rPr>
              <w:t>自然灾害救助条例</w:t>
            </w:r>
            <w:r>
              <w:rPr>
                <w:rFonts w:hint="eastAsia" w:ascii="方正仿宋_GBK" w:hAnsi="方正仿宋_GBK" w:cs="方正仿宋_GBK"/>
                <w:color w:val="000000"/>
                <w:kern w:val="0"/>
                <w:sz w:val="18"/>
                <w:szCs w:val="18"/>
                <w:lang w:bidi="ar"/>
              </w:rPr>
              <w:t>》（国务院令第577号）。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15</w:t>
            </w:r>
          </w:p>
        </w:tc>
        <w:tc>
          <w:tcPr>
            <w:tcW w:w="546" w:type="dxa"/>
            <w:vMerge w:val="continue"/>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因灾过渡期生活救助</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1.因灾过渡期生活救助标准、过渡期生活救助对象评议结果公示（灾民姓名、受灾情况、拟救助金额、监督举报电话）；                                   2.过渡期生活救助对象确定（灾民姓名、受灾情况、救助金额、监督举报电话）。</w:t>
            </w:r>
          </w:p>
        </w:tc>
        <w:tc>
          <w:tcPr>
            <w:tcW w:w="1317" w:type="dxa"/>
            <w:vAlign w:val="center"/>
          </w:tcPr>
          <w:p>
            <w:pPr>
              <w:widowControl/>
              <w:spacing w:line="22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w:t>
            </w:r>
            <w:r>
              <w:rPr>
                <w:rFonts w:hint="eastAsia" w:ascii="方正仿宋_GBK" w:hAnsi="方正仿宋_GBK" w:cs="方正仿宋_GBK"/>
                <w:color w:val="000000"/>
                <w:kern w:val="0"/>
                <w:sz w:val="18"/>
                <w:szCs w:val="18"/>
                <w:lang w:eastAsia="zh-CN" w:bidi="ar"/>
              </w:rPr>
              <w:t>自然灾害救助条例</w:t>
            </w:r>
            <w:r>
              <w:rPr>
                <w:rFonts w:hint="eastAsia" w:ascii="方正仿宋_GBK" w:hAnsi="方正仿宋_GBK" w:cs="方正仿宋_GBK"/>
                <w:color w:val="000000"/>
                <w:kern w:val="0"/>
                <w:sz w:val="18"/>
                <w:szCs w:val="18"/>
                <w:lang w:bidi="ar"/>
              </w:rPr>
              <w:t>》（国务院令第577号）。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16</w:t>
            </w:r>
          </w:p>
        </w:tc>
        <w:tc>
          <w:tcPr>
            <w:tcW w:w="546"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灾后救助</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居民住房恢复重建救助</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1.居民住房恢复重建救助标准（居民因灾倒房、损房恢复重建具体救助标准）；                            2.居民住房恢复重建救助对象评议结果公示（公开灾民姓名、受灾情况、拟救助标准、监督举报电话）。</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1.《中华人民共和国政府信息公开条例》（国务院令第711号）；          2.《</w:t>
            </w:r>
            <w:r>
              <w:rPr>
                <w:rFonts w:hint="eastAsia" w:ascii="方正仿宋_GBK" w:hAnsi="方正仿宋_GBK" w:cs="方正仿宋_GBK"/>
                <w:color w:val="000000"/>
                <w:kern w:val="0"/>
                <w:sz w:val="18"/>
                <w:szCs w:val="18"/>
                <w:lang w:eastAsia="zh-CN" w:bidi="ar"/>
              </w:rPr>
              <w:t>自然灾害救助条例</w:t>
            </w:r>
            <w:r>
              <w:rPr>
                <w:rFonts w:hint="eastAsia" w:ascii="方正仿宋_GBK" w:hAnsi="方正仿宋_GBK" w:cs="方正仿宋_GBK"/>
                <w:color w:val="000000"/>
                <w:kern w:val="0"/>
                <w:sz w:val="18"/>
                <w:szCs w:val="18"/>
                <w:lang w:bidi="ar"/>
              </w:rPr>
              <w:t>》（国务院令第577号）。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信息形成或变更之日起20个工作日内</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17</w:t>
            </w:r>
          </w:p>
        </w:tc>
        <w:tc>
          <w:tcPr>
            <w:tcW w:w="546" w:type="dxa"/>
            <w:vMerge w:val="restart"/>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款物管理</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捐赠款物信息</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年度捐赠款物信息以及款物使用情况</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按进展情况及时公开</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18</w:t>
            </w:r>
          </w:p>
        </w:tc>
        <w:tc>
          <w:tcPr>
            <w:tcW w:w="546" w:type="dxa"/>
            <w:vMerge w:val="continue"/>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年度款物使用情况</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年度救灾资金和救灾物资等使用情况</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按进展情况及时公开</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19</w:t>
            </w:r>
          </w:p>
        </w:tc>
        <w:tc>
          <w:tcPr>
            <w:tcW w:w="546"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工作动态</w:t>
            </w:r>
          </w:p>
        </w:tc>
        <w:tc>
          <w:tcPr>
            <w:tcW w:w="651"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工作信息</w:t>
            </w:r>
          </w:p>
        </w:tc>
        <w:tc>
          <w:tcPr>
            <w:tcW w:w="3056"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防灾减灾救灾其他相关动态信息</w:t>
            </w:r>
          </w:p>
        </w:tc>
        <w:tc>
          <w:tcPr>
            <w:tcW w:w="1317"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《中华人民共和国政府信息公开条例》（国务院令第711号）</w:t>
            </w:r>
          </w:p>
        </w:tc>
        <w:tc>
          <w:tcPr>
            <w:tcW w:w="1075"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按进展情况及时公开</w:t>
            </w:r>
          </w:p>
        </w:tc>
        <w:tc>
          <w:tcPr>
            <w:tcW w:w="1118"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两江新区应急管理局、各街道办事处</w:t>
            </w:r>
          </w:p>
        </w:tc>
        <w:tc>
          <w:tcPr>
            <w:tcW w:w="2774" w:type="dxa"/>
            <w:vAlign w:val="center"/>
          </w:tcPr>
          <w:p>
            <w:pPr>
              <w:widowControl/>
              <w:spacing w:line="240" w:lineRule="exact"/>
              <w:jc w:val="left"/>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■政府网站   □政府公报</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■两微一端   □发布会</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□广播电视   □纸质媒体</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□公开查阅点 □政务服务中心</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□便民服务站 □入户/现场</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□社区/企事业单位、村公示栏（电子屏）</w:t>
            </w:r>
            <w:r>
              <w:rPr>
                <w:rFonts w:hint="eastAsia" w:ascii="方正仿宋_GBK" w:hAnsi="方正仿宋_GBK" w:cs="方正仿宋_GBK"/>
                <w:color w:val="000000"/>
                <w:kern w:val="0"/>
                <w:sz w:val="18"/>
                <w:szCs w:val="18"/>
                <w:lang w:bidi="ar"/>
              </w:rPr>
              <w:br w:type="textWrapping"/>
            </w:r>
            <w:r>
              <w:rPr>
                <w:rFonts w:hint="eastAsia" w:ascii="方正仿宋_GBK" w:hAnsi="方正仿宋_GBK" w:cs="方正仿宋_GBK"/>
                <w:color w:val="000000"/>
                <w:kern w:val="0"/>
                <w:sz w:val="18"/>
                <w:szCs w:val="18"/>
                <w:lang w:bidi="ar"/>
              </w:rPr>
              <w:t>□精准推送   □其他</w:t>
            </w: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594"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637"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p>
        </w:tc>
        <w:tc>
          <w:tcPr>
            <w:tcW w:w="802"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c>
          <w:tcPr>
            <w:tcW w:w="825" w:type="dxa"/>
            <w:vAlign w:val="center"/>
          </w:tcPr>
          <w:p>
            <w:pPr>
              <w:widowControl/>
              <w:spacing w:line="240" w:lineRule="exact"/>
              <w:jc w:val="center"/>
              <w:textAlignment w:val="center"/>
              <w:rPr>
                <w:rFonts w:ascii="方正仿宋_GBK" w:hAnsi="方正仿宋_GBK" w:cs="方正仿宋_GBK"/>
                <w:color w:val="000000"/>
                <w:kern w:val="0"/>
                <w:sz w:val="18"/>
                <w:szCs w:val="18"/>
                <w:lang w:bidi="ar"/>
              </w:rPr>
            </w:pPr>
            <w:r>
              <w:rPr>
                <w:rFonts w:hint="eastAsia" w:ascii="方正仿宋_GBK" w:hAnsi="方正仿宋_GBK" w:cs="方正仿宋_GBK"/>
                <w:color w:val="000000"/>
                <w:kern w:val="0"/>
                <w:sz w:val="18"/>
                <w:szCs w:val="18"/>
                <w:lang w:bidi="ar"/>
              </w:rPr>
              <w:t>√</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0894524"/>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008B6D90"/>
    <w:rsid w:val="001B6DFE"/>
    <w:rsid w:val="004177CA"/>
    <w:rsid w:val="00494DD8"/>
    <w:rsid w:val="0052616D"/>
    <w:rsid w:val="005776E9"/>
    <w:rsid w:val="007765A3"/>
    <w:rsid w:val="007E6C8B"/>
    <w:rsid w:val="008B6D90"/>
    <w:rsid w:val="00A334C0"/>
    <w:rsid w:val="00A90A0A"/>
    <w:rsid w:val="00D0384C"/>
    <w:rsid w:val="00DD24A8"/>
    <w:rsid w:val="00E26173"/>
    <w:rsid w:val="645D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rFonts w:eastAsiaTheme="minorEastAsia"/>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eastAsiaTheme="minorEastAsia"/>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741</Words>
  <Characters>4230</Characters>
  <Lines>35</Lines>
  <Paragraphs>9</Paragraphs>
  <TotalTime>14</TotalTime>
  <ScaleCrop>false</ScaleCrop>
  <LinksUpToDate>false</LinksUpToDate>
  <CharactersWithSpaces>4962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2020-10-20T04:33:00Z</dcterms:created>
  <dc:creator>LQW</dc:creator>
  <cp:lastModifiedBy>今晚吃什么啊</cp:lastModifiedBy>
  <cp:lastPrinted>2020-10-23T06:47:00Z</cp:lastPrinted>
  <dcterms:modified xsi:type="dcterms:W3CDTF">2024-02-26T01:11:21Z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76C9CE7FD8A2417B8CF558A9FC8FD132_12</vt:lpwstr>
  </property>
</Properties>
</file>