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600" w:lineRule="exact"/>
        <w:rPr>
          <w:rFonts w:ascii="Times New Roman" w:hAnsi="Times New Roman" w:eastAsia="方正小标宋_GBK"/>
          <w:szCs w:val="44"/>
        </w:rPr>
      </w:pPr>
      <w:r>
        <w:rPr>
          <w:rFonts w:ascii="Times New Roman" w:hAnsi="Times New Roman" w:eastAsia="方正黑体_GBK"/>
          <w:b w:val="0"/>
          <w:bCs/>
          <w:kern w:val="2"/>
          <w:sz w:val="32"/>
          <w:szCs w:val="32"/>
        </w:rPr>
        <w:t>附件6</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重庆市生态环境保护督察受理交办群众</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举报投诉问题整改销号情况公示表</w:t>
      </w:r>
    </w:p>
    <w:p>
      <w:pPr>
        <w:pStyle w:val="3"/>
        <w:spacing w:before="0" w:after="0" w:line="600" w:lineRule="exact"/>
        <w:jc w:val="center"/>
        <w:rPr>
          <w:rFonts w:ascii="Times New Roman" w:hAnsi="Times New Roman"/>
        </w:rPr>
      </w:pPr>
      <w:r>
        <w:rPr>
          <w:rFonts w:ascii="Times New Roman" w:hAnsi="Times New Roman" w:eastAsia="方正仿宋_GBK"/>
          <w:b w:val="0"/>
          <w:bCs/>
          <w:sz w:val="28"/>
          <w:szCs w:val="28"/>
        </w:rPr>
        <w:t>（国家级整改任务模板）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7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投诉受理编号</w:t>
            </w:r>
          </w:p>
        </w:tc>
        <w:tc>
          <w:tcPr>
            <w:tcW w:w="7021" w:type="dxa"/>
            <w:shd w:val="clear" w:color="auto" w:fill="auto"/>
          </w:tcPr>
          <w:p>
            <w:pPr>
              <w:rPr>
                <w:rFonts w:hint="default" w:ascii="Times New Roman" w:hAnsi="Times New Roman" w:cs="Times New Roman"/>
                <w:sz w:val="18"/>
                <w:szCs w:val="18"/>
              </w:rPr>
            </w:pPr>
            <w:r>
              <w:rPr>
                <w:rFonts w:hint="default" w:ascii="Times New Roman" w:hAnsi="Times New Roman" w:cs="Times New Roman"/>
                <w:sz w:val="18"/>
                <w:szCs w:val="18"/>
              </w:rPr>
              <w:t>D2CQ201907290057、D2CQ201907300033、D2CQ201907300036、D2CQ201907310008、D2CQ201907310038、D2CQ201907310061、D2CQ201908010010、D2CQ201908010011、D2CQ201908010014、D2CQ201908010025、D2CQ201908010026、D2CQ201908010038、</w:t>
            </w:r>
          </w:p>
          <w:p>
            <w:pPr>
              <w:rPr>
                <w:rFonts w:hint="default" w:ascii="Times New Roman" w:hAnsi="Times New Roman" w:cs="Times New Roman"/>
                <w:sz w:val="18"/>
                <w:szCs w:val="18"/>
              </w:rPr>
            </w:pPr>
            <w:r>
              <w:rPr>
                <w:rFonts w:hint="default" w:ascii="Times New Roman" w:hAnsi="Times New Roman" w:cs="Times New Roman"/>
                <w:sz w:val="18"/>
                <w:szCs w:val="18"/>
              </w:rPr>
              <w:t>D2CQ201908010057、D2CQ201908020065、D2CQ201908020043、D2CQ201908030022、D2CQ201908040006、D2CQ201908040012、D2CQ201908040013、D2CQ201908040014、D2CQ201908040015、D2CQ201908040016、D2CQ201908040018、X2CQ201908040002、</w:t>
            </w:r>
          </w:p>
          <w:p>
            <w:pPr>
              <w:rPr>
                <w:rFonts w:hint="default" w:ascii="Times New Roman" w:hAnsi="Times New Roman" w:cs="Times New Roman"/>
                <w:sz w:val="18"/>
                <w:szCs w:val="18"/>
              </w:rPr>
            </w:pPr>
            <w:r>
              <w:rPr>
                <w:rFonts w:hint="default" w:ascii="Times New Roman" w:hAnsi="Times New Roman" w:cs="Times New Roman"/>
                <w:sz w:val="18"/>
                <w:szCs w:val="18"/>
              </w:rPr>
              <w:t>D2CQ201908040021、D2CQ201908040022、D2CQ201908040024、D2CQ201908040026、D2CQ201908040029、D2CQ201908040030、D2CQ201908040037、D2CQ201908040038、D2CQ201908040048、D2CQ201908040049、D2CQ201908040050、D2CQ201908040051、</w:t>
            </w:r>
          </w:p>
          <w:p>
            <w:pPr>
              <w:rPr>
                <w:rFonts w:hint="default" w:ascii="Times New Roman" w:hAnsi="Times New Roman" w:cs="Times New Roman"/>
                <w:sz w:val="18"/>
                <w:szCs w:val="18"/>
              </w:rPr>
            </w:pPr>
            <w:r>
              <w:rPr>
                <w:rFonts w:hint="default" w:ascii="Times New Roman" w:hAnsi="Times New Roman" w:cs="Times New Roman"/>
                <w:sz w:val="18"/>
                <w:szCs w:val="18"/>
              </w:rPr>
              <w:t>D2CQ201908040054、D2CQ201908040055、D2CQ201908040061、D2CQ201908040062、D2CQ201908040063、D2CQ201908040068、D2CQ201908040069、D2CQ201908040073、D2CQ201908040074、D2CQ201908040076、D2CQ201908040078、D2CQ201908040079</w:t>
            </w:r>
          </w:p>
          <w:p>
            <w:pPr>
              <w:rPr>
                <w:rFonts w:hint="default" w:ascii="Times New Roman" w:hAnsi="Times New Roman" w:cs="Times New Roman"/>
                <w:sz w:val="18"/>
                <w:szCs w:val="18"/>
              </w:rPr>
            </w:pPr>
            <w:r>
              <w:rPr>
                <w:rFonts w:hint="default" w:ascii="Times New Roman" w:hAnsi="Times New Roman" w:cs="Times New Roman"/>
                <w:sz w:val="18"/>
                <w:szCs w:val="18"/>
              </w:rPr>
              <w:t>X2CQ201908050012、D2CQ201908050005、D2CQ201908050010、D2CQ201908050011、D2CQ201908050025、D2CQ201908050026、D2CQ201908050040、D2CQ201908050066、</w:t>
            </w:r>
          </w:p>
          <w:p>
            <w:pPr>
              <w:rPr>
                <w:rFonts w:hint="default" w:ascii="Times New Roman" w:hAnsi="Times New Roman" w:cs="Times New Roman"/>
                <w:sz w:val="18"/>
                <w:szCs w:val="18"/>
              </w:rPr>
            </w:pPr>
            <w:r>
              <w:rPr>
                <w:rFonts w:hint="default" w:ascii="Times New Roman" w:hAnsi="Times New Roman" w:cs="Times New Roman"/>
                <w:sz w:val="18"/>
                <w:szCs w:val="18"/>
              </w:rPr>
              <w:t>D2CQ201908050068、D2CQ201908050073、D2CQ201</w:t>
            </w:r>
            <w:bookmarkStart w:id="0" w:name="_GoBack"/>
            <w:bookmarkEnd w:id="0"/>
            <w:r>
              <w:rPr>
                <w:rFonts w:hint="default" w:ascii="Times New Roman" w:hAnsi="Times New Roman" w:cs="Times New Roman"/>
                <w:sz w:val="18"/>
                <w:szCs w:val="18"/>
              </w:rPr>
              <w:t>908050077、D2CQ201908060076、D2CQ201908060072、D2CQ201908060073、X2CQ201908060042、D2CQ201908060054、D2CQ201908060042、D2CQ201908060041、D2CQ201908060039、D2CQ201908060040、</w:t>
            </w:r>
          </w:p>
          <w:p>
            <w:pPr>
              <w:rPr>
                <w:rFonts w:hint="default" w:ascii="Times New Roman" w:hAnsi="Times New Roman" w:cs="Times New Roman"/>
                <w:sz w:val="18"/>
                <w:szCs w:val="18"/>
              </w:rPr>
            </w:pPr>
            <w:r>
              <w:rPr>
                <w:rFonts w:hint="default" w:ascii="Times New Roman" w:hAnsi="Times New Roman" w:cs="Times New Roman"/>
                <w:sz w:val="18"/>
                <w:szCs w:val="18"/>
              </w:rPr>
              <w:t>D2CQ201908060036、D2CQ201908060031、D2CQ201908060030、D2CQ201908060019、D2CQ201908060013、D2CQ201908060007、D2CQ201908060004、D2CQ201908060005、D2CQ201908070072、D2CQ201908070064、D2CQ201908070045、D2CQ201908070038、D2CQ201908070039、D2CQ201908070033、D2CQ201908070025、D2CQ201908070011、</w:t>
            </w:r>
          </w:p>
          <w:p>
            <w:pPr>
              <w:rPr>
                <w:rFonts w:hint="default" w:ascii="Times New Roman" w:hAnsi="Times New Roman" w:cs="Times New Roman"/>
                <w:sz w:val="18"/>
                <w:szCs w:val="18"/>
              </w:rPr>
            </w:pPr>
            <w:r>
              <w:rPr>
                <w:rFonts w:hint="default" w:ascii="Times New Roman" w:hAnsi="Times New Roman" w:cs="Times New Roman"/>
                <w:sz w:val="18"/>
                <w:szCs w:val="18"/>
              </w:rPr>
              <w:t>D2CQ201908070010、D2CQ201908070006、D2CQ201908080028、D2CQ201908080033、D2CQ201908080064、D2CQ201908080071、D2CQ201908090008、D2CQ201908110023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整改任务概述</w:t>
            </w:r>
          </w:p>
        </w:tc>
        <w:tc>
          <w:tcPr>
            <w:tcW w:w="7021" w:type="dxa"/>
            <w:shd w:val="clear" w:color="auto" w:fill="auto"/>
          </w:tcPr>
          <w:p>
            <w:pPr>
              <w:pStyle w:val="3"/>
              <w:spacing w:before="0" w:after="0" w:line="600" w:lineRule="exact"/>
              <w:rPr>
                <w:rFonts w:hint="default" w:ascii="Times New Roman" w:hAnsi="Times New Roman" w:eastAsia="方正仿宋_GBK" w:cs="Times New Roman"/>
                <w:b w:val="0"/>
                <w:sz w:val="24"/>
              </w:rPr>
            </w:pPr>
            <w:r>
              <w:rPr>
                <w:rFonts w:hint="default" w:ascii="Times New Roman" w:hAnsi="Times New Roman" w:eastAsia="方正仿宋_GBK" w:cs="Times New Roman"/>
                <w:b w:val="0"/>
                <w:sz w:val="24"/>
              </w:rPr>
              <w:t>渝北区双凤桥街道桃园居小区附近300米处拟修建一垃圾中转站。小区业主担心建成后垃圾臭气等污染将影响附近小区居民生活，坚决反对该垃圾中转站修建等92件群众担心垃圾转运站修建后存在环境污染问题。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整改责任单位</w:t>
            </w:r>
          </w:p>
        </w:tc>
        <w:tc>
          <w:tcPr>
            <w:tcW w:w="7021" w:type="dxa"/>
            <w:shd w:val="clear" w:color="auto" w:fill="auto"/>
            <w:vAlign w:val="center"/>
          </w:tcPr>
          <w:p>
            <w:pPr>
              <w:pStyle w:val="3"/>
              <w:spacing w:before="0" w:after="0" w:line="600" w:lineRule="exact"/>
              <w:rPr>
                <w:rFonts w:hint="default" w:ascii="Times New Roman" w:hAnsi="Times New Roman" w:cs="Times New Roman"/>
                <w:b w:val="0"/>
              </w:rPr>
            </w:pPr>
            <w:r>
              <w:rPr>
                <w:rFonts w:hint="default" w:ascii="Times New Roman" w:hAnsi="Times New Roman" w:eastAsia="方正仿宋_GBK" w:cs="Times New Roman"/>
                <w:b w:val="0"/>
                <w:sz w:val="24"/>
              </w:rPr>
              <w:t>两江新区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整改目标</w:t>
            </w:r>
          </w:p>
        </w:tc>
        <w:tc>
          <w:tcPr>
            <w:tcW w:w="7021" w:type="dxa"/>
            <w:shd w:val="clear" w:color="auto" w:fill="auto"/>
          </w:tcPr>
          <w:p>
            <w:pPr>
              <w:pStyle w:val="3"/>
              <w:spacing w:before="0" w:after="0" w:line="600" w:lineRule="exact"/>
              <w:rPr>
                <w:rFonts w:hint="default" w:ascii="Times New Roman" w:hAnsi="Times New Roman" w:eastAsia="方正仿宋_GBK" w:cs="Times New Roman"/>
                <w:b w:val="0"/>
              </w:rPr>
            </w:pPr>
            <w:r>
              <w:rPr>
                <w:rFonts w:hint="default" w:ascii="Times New Roman" w:hAnsi="Times New Roman" w:eastAsia="方正仿宋_GBK" w:cs="Times New Roman"/>
                <w:b w:val="0"/>
                <w:sz w:val="24"/>
              </w:rPr>
              <w:t>结合群众意见公正客观开展该拟建垃圾转运站项目的社会稳定风险评估，正面回应群众诉求。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整改措施及成效</w:t>
            </w:r>
          </w:p>
        </w:tc>
        <w:tc>
          <w:tcPr>
            <w:tcW w:w="7021" w:type="dxa"/>
            <w:shd w:val="clear" w:color="auto" w:fill="auto"/>
          </w:tcPr>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一是加强同桃源居小区居民的沟通，认真做好投诉群众沟通解释工作，对群众反映问题正面回应。2019年8月7日，市城管局牵头，两江城管局、保税港区集团、渝北区城管局等单位协同到Q分区现场核查情况，并再次听取桃源居小区群众意见。</w:t>
            </w:r>
          </w:p>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二是客观公正开展拟建垃圾转运站项目社会稳定风险评估，并根据社会风险评估结果明确下一步的整改方案。</w:t>
            </w:r>
          </w:p>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1.群众反映的垃圾中转站实为Q分区垃圾转运站，目前尚未开始建设。2019年7月-8月，收到大量群众反映担心垃圾站建成后存在环境污染问题，为切实做好群众意见收集，客观评价项目可行性，2019年8月7日，渝北区双凤桥街道作为该项目社会稳定风险评估主体组织召开社会稳定风险评估评审会，确定该项目社会稳定风险等级为高风险。</w:t>
            </w:r>
          </w:p>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2.案件交办以来，保税港区集团努力做好投诉群众的沟通解释工作，累计处理现场投诉和电话投诉80余次，投诉群众情绪总体稳定，未引发大规模群体事件。</w:t>
            </w:r>
          </w:p>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3.综合该项目社会稳定风险评估结论和群众意见，保税港区集团公司研究决定终止该垃圾转运站项目。</w:t>
            </w:r>
          </w:p>
          <w:p>
            <w:pPr>
              <w:spacing w:line="360" w:lineRule="exac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整改时间</w:t>
            </w:r>
          </w:p>
        </w:tc>
        <w:tc>
          <w:tcPr>
            <w:tcW w:w="7021" w:type="dxa"/>
            <w:shd w:val="clear" w:color="auto" w:fill="auto"/>
            <w:vAlign w:val="center"/>
          </w:tcPr>
          <w:p>
            <w:pPr>
              <w:pStyle w:val="3"/>
              <w:spacing w:before="0" w:after="0" w:line="600" w:lineRule="exact"/>
              <w:jc w:val="center"/>
              <w:rPr>
                <w:rFonts w:hint="default" w:ascii="Times New Roman" w:hAnsi="Times New Roman" w:cs="Times New Roman"/>
              </w:rPr>
            </w:pPr>
            <w:r>
              <w:rPr>
                <w:rFonts w:hint="default" w:ascii="Times New Roman" w:hAnsi="Times New Roman" w:eastAsia="方正仿宋_GBK" w:cs="Times New Roman"/>
                <w:b w:val="0"/>
                <w:kern w:val="2"/>
                <w:sz w:val="24"/>
                <w:szCs w:val="24"/>
                <w:lang w:val="en-US" w:eastAsia="zh-CN" w:bidi="ar-SA"/>
              </w:rPr>
              <w:t>2019年7月至2020年5月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社会监督联系人及电话</w:t>
            </w:r>
          </w:p>
        </w:tc>
        <w:tc>
          <w:tcPr>
            <w:tcW w:w="7021" w:type="dxa"/>
            <w:shd w:val="clear" w:color="auto" w:fill="auto"/>
          </w:tcPr>
          <w:p>
            <w:pPr>
              <w:pStyle w:val="3"/>
              <w:pageBreakBefore w:val="0"/>
              <w:widowControl w:val="0"/>
              <w:kinsoku/>
              <w:wordWrap/>
              <w:overflowPunct/>
              <w:topLinePunct w:val="0"/>
              <w:autoSpaceDE/>
              <w:autoSpaceDN/>
              <w:bidi w:val="0"/>
              <w:adjustRightInd/>
              <w:spacing w:before="0" w:after="0" w:line="560" w:lineRule="exact"/>
              <w:textAlignment w:val="auto"/>
              <w:rPr>
                <w:rFonts w:hint="default" w:ascii="Times New Roman" w:hAnsi="Times New Roman" w:eastAsia="方正仿宋_GBK" w:cs="Times New Roman"/>
                <w:b w:val="0"/>
                <w:kern w:val="2"/>
                <w:sz w:val="24"/>
                <w:szCs w:val="24"/>
                <w:lang w:val="en-US" w:eastAsia="zh-CN" w:bidi="ar-SA"/>
              </w:rPr>
            </w:pPr>
            <w:r>
              <w:rPr>
                <w:rFonts w:hint="default" w:ascii="Times New Roman" w:hAnsi="Times New Roman" w:eastAsia="方正仿宋_GBK" w:cs="Times New Roman"/>
                <w:b w:val="0"/>
                <w:kern w:val="2"/>
                <w:sz w:val="24"/>
                <w:szCs w:val="24"/>
                <w:lang w:val="en-US" w:eastAsia="zh-CN" w:bidi="ar-SA"/>
              </w:rPr>
              <w:t>重庆市生态环境局两江新区分局</w:t>
            </w:r>
          </w:p>
          <w:p>
            <w:pPr>
              <w:rPr>
                <w:rFonts w:hint="default" w:ascii="Times New Roman" w:hAnsi="Times New Roman" w:cs="Times New Roman"/>
              </w:rPr>
            </w:pPr>
            <w:r>
              <w:rPr>
                <w:rFonts w:hint="default" w:ascii="Times New Roman" w:hAnsi="Times New Roman" w:eastAsia="方正仿宋_GBK" w:cs="Times New Roman"/>
                <w:b w:val="0"/>
                <w:kern w:val="2"/>
                <w:sz w:val="24"/>
                <w:szCs w:val="24"/>
                <w:lang w:val="en-US" w:eastAsia="zh-CN" w:bidi="ar-SA"/>
              </w:rPr>
              <w:t>023-67303534</w:t>
            </w:r>
          </w:p>
        </w:tc>
      </w:tr>
    </w:tbl>
    <w:p>
      <w:pPr>
        <w:snapToGrid w:val="0"/>
        <w:ind w:left="840" w:hanging="840" w:hangingChars="300"/>
        <w:jc w:val="left"/>
        <w:rPr>
          <w:rFonts w:ascii="Times New Roman" w:hAnsi="Times New Roman" w:eastAsia="方正楷体_GBK"/>
          <w:sz w:val="28"/>
          <w:szCs w:val="28"/>
        </w:rPr>
      </w:pPr>
      <w:r>
        <w:rPr>
          <w:rFonts w:ascii="Times New Roman" w:hAnsi="Times New Roman" w:eastAsia="方正楷体_GBK"/>
          <w:sz w:val="28"/>
          <w:szCs w:val="28"/>
        </w:rPr>
        <w:t>备注：社会监督联系人须由区县或市级部门负责统筹督察整改的工作机构有关人员担任。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0B"/>
    <w:rsid w:val="00061C41"/>
    <w:rsid w:val="00231B17"/>
    <w:rsid w:val="0029137F"/>
    <w:rsid w:val="004F0CEC"/>
    <w:rsid w:val="005E4F0B"/>
    <w:rsid w:val="00606AF9"/>
    <w:rsid w:val="00777892"/>
    <w:rsid w:val="00B74714"/>
    <w:rsid w:val="00BA1DF8"/>
    <w:rsid w:val="00FA0C3D"/>
    <w:rsid w:val="DDBC43A3"/>
    <w:rsid w:val="FFABB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link w:val="8"/>
    <w:qFormat/>
    <w:uiPriority w:val="0"/>
    <w:pPr>
      <w:keepNext/>
      <w:keepLines/>
      <w:spacing w:before="340" w:after="330" w:line="578" w:lineRule="atLeast"/>
      <w:outlineLvl w:val="0"/>
    </w:pPr>
    <w:rPr>
      <w:b/>
      <w:kern w:val="44"/>
      <w:sz w:val="44"/>
    </w:rPr>
  </w:style>
  <w:style w:type="paragraph" w:styleId="2">
    <w:name w:val="heading 4"/>
    <w:basedOn w:val="1"/>
    <w:next w:val="1"/>
    <w:link w:val="1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3"/>
    <w:qFormat/>
    <w:uiPriority w:val="0"/>
    <w:rPr>
      <w:rFonts w:ascii="Calibri" w:hAnsi="Calibri" w:eastAsia="仿宋_GB2312" w:cs="Times New Roman"/>
      <w:b/>
      <w:kern w:val="44"/>
      <w:sz w:val="44"/>
      <w:szCs w:val="24"/>
    </w:rPr>
  </w:style>
  <w:style w:type="paragraph" w:customStyle="1" w:styleId="9">
    <w:name w:val="Char Char Char Char Char Char Char Char Char Char Char Char Char"/>
    <w:basedOn w:val="1"/>
    <w:qFormat/>
    <w:uiPriority w:val="0"/>
    <w:rPr>
      <w:rFonts w:ascii="Tahoma" w:hAnsi="Tahoma" w:eastAsia="宋体"/>
      <w:sz w:val="24"/>
      <w:szCs w:val="20"/>
    </w:rPr>
  </w:style>
  <w:style w:type="character" w:customStyle="1" w:styleId="10">
    <w:name w:val="标题 4 字符"/>
    <w:basedOn w:val="7"/>
    <w:link w:val="2"/>
    <w:semiHidden/>
    <w:qFormat/>
    <w:uiPriority w:val="9"/>
    <w:rPr>
      <w:rFonts w:asciiTheme="majorHAnsi" w:hAnsiTheme="majorHAnsi" w:eastAsiaTheme="majorEastAsia" w:cstheme="majorBidi"/>
      <w:b/>
      <w:bCs/>
      <w:sz w:val="28"/>
      <w:szCs w:val="28"/>
    </w:rPr>
  </w:style>
  <w:style w:type="character" w:customStyle="1" w:styleId="11">
    <w:name w:val="页眉 字符"/>
    <w:basedOn w:val="7"/>
    <w:link w:val="5"/>
    <w:qFormat/>
    <w:uiPriority w:val="99"/>
    <w:rPr>
      <w:rFonts w:ascii="Calibri" w:hAnsi="Calibri" w:eastAsia="仿宋_GB2312" w:cs="Times New Roman"/>
      <w:sz w:val="18"/>
      <w:szCs w:val="18"/>
    </w:rPr>
  </w:style>
  <w:style w:type="character" w:customStyle="1" w:styleId="12">
    <w:name w:val="页脚 字符"/>
    <w:basedOn w:val="7"/>
    <w:link w:val="4"/>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350</Words>
  <Characters>1995</Characters>
  <Lines>16</Lines>
  <Paragraphs>4</Paragraphs>
  <TotalTime>0</TotalTime>
  <ScaleCrop>false</ScaleCrop>
  <LinksUpToDate>false</LinksUpToDate>
  <CharactersWithSpaces>2341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2024-04-03T17:08:00Z</dcterms:created>
  <dc:creator>Administrator</dc:creator>
  <cp:lastModifiedBy>user</cp:lastModifiedBy>
  <dcterms:modified xsi:type="dcterms:W3CDTF">2024-04-12T09:21:30Z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