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9" w:beforeLines="50" w:line="560" w:lineRule="exact"/>
        <w:jc w:val="center"/>
        <w:rPr>
          <w:rFonts w:hint="eastAsia" w:eastAsia="方正小标宋_GBK"/>
          <w:b/>
          <w:sz w:val="44"/>
          <w:szCs w:val="44"/>
        </w:rPr>
      </w:pPr>
    </w:p>
    <w:p>
      <w:pPr>
        <w:spacing w:before="289" w:beforeLines="50" w:line="560" w:lineRule="exact"/>
        <w:jc w:val="center"/>
        <w:rPr>
          <w:rFonts w:eastAsia="方正小标宋_GBK"/>
          <w:b/>
          <w:sz w:val="44"/>
          <w:szCs w:val="44"/>
        </w:rPr>
      </w:pPr>
      <w:r>
        <w:rPr>
          <w:rFonts w:hint="eastAsia" w:eastAsia="方正小标宋_GBK"/>
          <w:b/>
          <w:sz w:val="44"/>
          <w:szCs w:val="44"/>
        </w:rPr>
        <w:t>重庆两江新区</w:t>
      </w:r>
      <w:r>
        <w:rPr>
          <w:rFonts w:eastAsia="方正小标宋_GBK"/>
          <w:b/>
          <w:sz w:val="44"/>
          <w:szCs w:val="44"/>
        </w:rPr>
        <w:t>重污染天气应急预案</w:t>
      </w:r>
    </w:p>
    <w:p>
      <w:pPr>
        <w:spacing w:before="289" w:beforeLines="50" w:line="560" w:lineRule="exact"/>
        <w:jc w:val="center"/>
        <w:rPr>
          <w:rFonts w:eastAsia="方正小标宋_GBK"/>
          <w:b/>
          <w:sz w:val="36"/>
          <w:szCs w:val="36"/>
        </w:rPr>
      </w:pPr>
      <w:bookmarkStart w:id="0" w:name="_Toc22860"/>
      <w:bookmarkStart w:id="1" w:name="_Toc19308"/>
      <w:r>
        <w:rPr>
          <w:rFonts w:eastAsia="方正小标宋_GBK"/>
          <w:b/>
          <w:sz w:val="36"/>
          <w:szCs w:val="36"/>
        </w:rPr>
        <w:t>（</w:t>
      </w:r>
      <w:r>
        <w:rPr>
          <w:rFonts w:hint="eastAsia" w:eastAsia="方正小标宋_GBK"/>
          <w:b/>
          <w:sz w:val="36"/>
          <w:szCs w:val="36"/>
        </w:rPr>
        <w:t>2023年修订版</w:t>
      </w:r>
      <w:r>
        <w:rPr>
          <w:rFonts w:eastAsia="方正小标宋_GBK"/>
          <w:b/>
          <w:sz w:val="36"/>
          <w:szCs w:val="36"/>
        </w:rPr>
        <w:t>）</w:t>
      </w:r>
      <w:bookmarkEnd w:id="0"/>
      <w:bookmarkEnd w:id="1"/>
    </w:p>
    <w:p>
      <w:pPr>
        <w:spacing w:line="560" w:lineRule="exact"/>
        <w:rPr>
          <w:rFonts w:eastAsia="方正小标宋_GBK"/>
        </w:rPr>
      </w:pPr>
    </w:p>
    <w:p>
      <w:pPr>
        <w:spacing w:before="289" w:beforeLines="50" w:line="560" w:lineRule="exact"/>
        <w:ind w:firstLine="872" w:firstLineChars="200"/>
        <w:jc w:val="center"/>
        <w:rPr>
          <w:rFonts w:eastAsia="方正小标宋_GBK"/>
          <w:sz w:val="44"/>
          <w:szCs w:val="44"/>
        </w:rPr>
      </w:pPr>
    </w:p>
    <w:p>
      <w:pPr>
        <w:autoSpaceDE w:val="0"/>
        <w:autoSpaceDN w:val="0"/>
        <w:spacing w:line="560" w:lineRule="exact"/>
        <w:ind w:firstLine="872" w:firstLineChars="200"/>
        <w:jc w:val="center"/>
        <w:rPr>
          <w:rFonts w:eastAsia="方正小标宋_GBK"/>
          <w:b/>
          <w:bCs/>
          <w:color w:val="000000"/>
          <w:sz w:val="44"/>
          <w:szCs w:val="44"/>
        </w:rPr>
      </w:pPr>
    </w:p>
    <w:p>
      <w:pPr>
        <w:spacing w:line="560" w:lineRule="exact"/>
        <w:ind w:firstLine="872" w:firstLineChars="200"/>
        <w:rPr>
          <w:rFonts w:eastAsia="方正小标宋_GBK"/>
          <w:sz w:val="44"/>
          <w:szCs w:val="44"/>
        </w:rPr>
      </w:pPr>
    </w:p>
    <w:p>
      <w:pPr>
        <w:autoSpaceDE w:val="0"/>
        <w:autoSpaceDN w:val="0"/>
        <w:spacing w:line="560" w:lineRule="exact"/>
        <w:ind w:firstLine="872" w:firstLineChars="200"/>
        <w:jc w:val="center"/>
        <w:rPr>
          <w:rFonts w:eastAsia="方正小标宋_GBK"/>
          <w:b/>
          <w:bCs/>
          <w:color w:val="000000"/>
          <w:sz w:val="44"/>
          <w:szCs w:val="44"/>
        </w:rPr>
      </w:pPr>
    </w:p>
    <w:p>
      <w:pPr>
        <w:spacing w:line="560" w:lineRule="exact"/>
        <w:ind w:firstLine="632" w:firstLineChars="200"/>
        <w:rPr>
          <w:rFonts w:eastAsia="方正仿宋_GBK"/>
          <w:sz w:val="32"/>
        </w:rPr>
      </w:pPr>
    </w:p>
    <w:p>
      <w:pPr>
        <w:spacing w:line="560" w:lineRule="exact"/>
        <w:ind w:firstLine="872" w:firstLineChars="200"/>
        <w:jc w:val="center"/>
        <w:rPr>
          <w:rFonts w:eastAsia="方正小标宋_GBK"/>
          <w:sz w:val="44"/>
          <w:szCs w:val="44"/>
        </w:rPr>
      </w:pPr>
    </w:p>
    <w:p>
      <w:pPr>
        <w:spacing w:line="560" w:lineRule="exact"/>
        <w:ind w:firstLine="872" w:firstLineChars="200"/>
        <w:jc w:val="center"/>
        <w:rPr>
          <w:rFonts w:eastAsia="方正小标宋_GBK"/>
          <w:sz w:val="44"/>
          <w:szCs w:val="44"/>
        </w:rPr>
      </w:pPr>
    </w:p>
    <w:p>
      <w:pPr>
        <w:spacing w:line="560" w:lineRule="exact"/>
        <w:ind w:firstLine="872" w:firstLineChars="200"/>
        <w:jc w:val="center"/>
        <w:rPr>
          <w:rFonts w:eastAsia="方正小标宋_GBK"/>
          <w:sz w:val="44"/>
          <w:szCs w:val="44"/>
        </w:rPr>
      </w:pPr>
    </w:p>
    <w:p>
      <w:pPr>
        <w:spacing w:line="560" w:lineRule="exact"/>
        <w:rPr>
          <w:rFonts w:eastAsia="方正仿宋_GBK"/>
          <w:sz w:val="32"/>
        </w:rPr>
      </w:pPr>
    </w:p>
    <w:p>
      <w:pPr>
        <w:autoSpaceDE w:val="0"/>
        <w:autoSpaceDN w:val="0"/>
        <w:spacing w:line="560" w:lineRule="exact"/>
        <w:ind w:firstLine="872" w:firstLineChars="200"/>
        <w:jc w:val="center"/>
        <w:rPr>
          <w:rFonts w:ascii="黑体" w:hAnsi="Calibri" w:eastAsia="黑体"/>
          <w:b/>
          <w:bCs/>
          <w:color w:val="000000"/>
          <w:sz w:val="44"/>
          <w:szCs w:val="44"/>
        </w:rPr>
      </w:pPr>
    </w:p>
    <w:p>
      <w:pPr>
        <w:spacing w:line="560" w:lineRule="exact"/>
        <w:ind w:firstLine="872" w:firstLineChars="200"/>
        <w:rPr>
          <w:rFonts w:eastAsia="方正小标宋_GBK"/>
          <w:sz w:val="44"/>
          <w:szCs w:val="44"/>
        </w:rPr>
      </w:pPr>
    </w:p>
    <w:p>
      <w:pPr>
        <w:autoSpaceDE w:val="0"/>
        <w:autoSpaceDN w:val="0"/>
        <w:spacing w:line="560" w:lineRule="exact"/>
        <w:ind w:firstLine="872" w:firstLineChars="200"/>
        <w:jc w:val="center"/>
        <w:rPr>
          <w:rFonts w:eastAsia="黑体"/>
          <w:b/>
          <w:bCs/>
          <w:color w:val="000000"/>
          <w:sz w:val="44"/>
          <w:szCs w:val="44"/>
        </w:rPr>
      </w:pPr>
    </w:p>
    <w:p>
      <w:pPr>
        <w:spacing w:line="560" w:lineRule="exact"/>
        <w:jc w:val="center"/>
        <w:rPr>
          <w:rFonts w:eastAsia="方正小标宋_GBK"/>
          <w:b/>
          <w:bCs/>
          <w:sz w:val="30"/>
          <w:szCs w:val="30"/>
        </w:rPr>
      </w:pPr>
      <w:bookmarkStart w:id="2" w:name="_Toc4598"/>
      <w:bookmarkStart w:id="3" w:name="_Toc13515"/>
      <w:bookmarkStart w:id="4" w:name="_Toc7875"/>
      <w:r>
        <w:rPr>
          <w:rFonts w:eastAsia="方正小标宋_GBK"/>
          <w:b/>
          <w:bCs/>
          <w:sz w:val="30"/>
          <w:szCs w:val="30"/>
        </w:rPr>
        <w:t>重庆市</w:t>
      </w:r>
      <w:bookmarkEnd w:id="2"/>
      <w:bookmarkEnd w:id="3"/>
      <w:bookmarkEnd w:id="4"/>
      <w:r>
        <w:rPr>
          <w:rFonts w:hint="eastAsia" w:eastAsia="方正小标宋_GBK"/>
          <w:b/>
          <w:bCs/>
          <w:sz w:val="30"/>
          <w:szCs w:val="30"/>
        </w:rPr>
        <w:t>两江新区管理委员会</w:t>
      </w:r>
    </w:p>
    <w:p>
      <w:pPr>
        <w:spacing w:line="560" w:lineRule="exact"/>
        <w:jc w:val="center"/>
        <w:rPr>
          <w:rFonts w:eastAsia="方正小标宋_GBK"/>
          <w:b/>
          <w:bCs/>
          <w:sz w:val="30"/>
          <w:szCs w:val="30"/>
        </w:rPr>
      </w:pPr>
      <w:r>
        <w:rPr>
          <w:rFonts w:eastAsia="方正小标宋_GBK"/>
          <w:b/>
          <w:bCs/>
          <w:sz w:val="30"/>
          <w:szCs w:val="30"/>
        </w:rPr>
        <w:t>202</w:t>
      </w:r>
      <w:r>
        <w:rPr>
          <w:rFonts w:hint="eastAsia" w:eastAsia="方正小标宋_GBK"/>
          <w:b/>
          <w:bCs/>
          <w:sz w:val="30"/>
          <w:szCs w:val="30"/>
        </w:rPr>
        <w:t>3</w:t>
      </w:r>
      <w:r>
        <w:rPr>
          <w:rFonts w:eastAsia="方正小标宋_GBK"/>
          <w:b/>
          <w:bCs/>
          <w:sz w:val="30"/>
          <w:szCs w:val="30"/>
        </w:rPr>
        <w:t>年</w:t>
      </w:r>
      <w:r>
        <w:rPr>
          <w:rFonts w:hint="eastAsia" w:eastAsia="方正小标宋_GBK"/>
          <w:b/>
          <w:bCs/>
          <w:sz w:val="30"/>
          <w:szCs w:val="30"/>
        </w:rPr>
        <w:t>7</w:t>
      </w:r>
      <w:r>
        <w:rPr>
          <w:rFonts w:eastAsia="方正小标宋_GBK"/>
          <w:b/>
          <w:bCs/>
          <w:sz w:val="30"/>
          <w:szCs w:val="30"/>
        </w:rPr>
        <w:t>月</w:t>
      </w:r>
    </w:p>
    <w:p>
      <w:pPr>
        <w:spacing w:line="560" w:lineRule="exact"/>
        <w:jc w:val="center"/>
        <w:rPr>
          <w:rFonts w:eastAsia="方正黑体_GBK"/>
          <w:sz w:val="44"/>
          <w:szCs w:val="44"/>
        </w:rPr>
        <w:sectPr>
          <w:footerReference r:id="rId4" w:type="default"/>
          <w:pgSz w:w="11906" w:h="16838"/>
          <w:pgMar w:top="2098" w:right="1474" w:bottom="1984" w:left="1588" w:header="851" w:footer="1417" w:gutter="0"/>
          <w:pgNumType w:fmt="numberInDash"/>
          <w:cols w:space="720" w:num="1"/>
          <w:docGrid w:type="linesAndChars" w:linePitch="579" w:charSpace="-849"/>
        </w:sectPr>
      </w:pPr>
    </w:p>
    <w:p>
      <w:pPr>
        <w:spacing w:line="540" w:lineRule="exact"/>
        <w:jc w:val="center"/>
        <w:rPr>
          <w:rFonts w:eastAsia="方正仿宋_GBK"/>
          <w:b/>
          <w:bCs/>
          <w:sz w:val="36"/>
          <w:szCs w:val="36"/>
        </w:rPr>
      </w:pPr>
      <w:r>
        <w:rPr>
          <w:rFonts w:eastAsia="方正仿宋_GBK"/>
          <w:b/>
          <w:bCs/>
          <w:sz w:val="36"/>
          <w:szCs w:val="36"/>
        </w:rPr>
        <w:t>目录</w:t>
      </w:r>
    </w:p>
    <w:p>
      <w:pPr>
        <w:tabs>
          <w:tab w:val="right" w:leader="dot" w:pos="8844"/>
        </w:tabs>
        <w:spacing w:line="540" w:lineRule="exact"/>
        <w:rPr>
          <w:rFonts w:eastAsia="方正仿宋_GBK"/>
          <w:sz w:val="32"/>
          <w:szCs w:val="32"/>
        </w:rPr>
      </w:pPr>
      <w:r>
        <w:rPr>
          <w:rFonts w:hint="eastAsia" w:ascii="方正仿宋_GBK" w:hAnsi="方正仿宋_GBK" w:eastAsia="方正仿宋_GBK" w:cs="方正仿宋_GBK"/>
          <w:spacing w:val="-4"/>
          <w:kern w:val="44"/>
          <w:sz w:val="32"/>
          <w:szCs w:val="32"/>
        </w:rPr>
        <w:fldChar w:fldCharType="begin"/>
      </w:r>
      <w:r>
        <w:rPr>
          <w:rFonts w:hint="eastAsia" w:ascii="方正仿宋_GBK" w:hAnsi="方正仿宋_GBK" w:eastAsia="方正仿宋_GBK" w:cs="方正仿宋_GBK"/>
          <w:spacing w:val="-4"/>
          <w:kern w:val="44"/>
          <w:sz w:val="32"/>
          <w:szCs w:val="32"/>
        </w:rPr>
        <w:instrText xml:space="preserve">TOC \o "1-2" \h \u </w:instrText>
      </w:r>
      <w:r>
        <w:rPr>
          <w:rFonts w:hint="eastAsia" w:ascii="方正仿宋_GBK" w:hAnsi="方正仿宋_GBK" w:eastAsia="方正仿宋_GBK" w:cs="方正仿宋_GBK"/>
          <w:spacing w:val="-4"/>
          <w:kern w:val="44"/>
          <w:sz w:val="32"/>
          <w:szCs w:val="32"/>
        </w:rPr>
        <w:fldChar w:fldCharType="separate"/>
      </w:r>
      <w:r>
        <w:fldChar w:fldCharType="begin"/>
      </w:r>
      <w:r>
        <w:instrText xml:space="preserve"> HYPERLINK \l "_Toc18597" </w:instrText>
      </w:r>
      <w:r>
        <w:fldChar w:fldCharType="separate"/>
      </w:r>
      <w:r>
        <w:rPr>
          <w:rFonts w:eastAsia="方正仿宋_GBK"/>
          <w:b/>
          <w:bCs/>
          <w:sz w:val="32"/>
          <w:szCs w:val="32"/>
        </w:rPr>
        <w:t>1总则</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_Toc18597 \h </w:instrText>
      </w:r>
      <w:r>
        <w:rPr>
          <w:rFonts w:eastAsia="方正仿宋_GBK"/>
          <w:b/>
          <w:bCs/>
          <w:sz w:val="32"/>
          <w:szCs w:val="32"/>
        </w:rPr>
        <w:fldChar w:fldCharType="separate"/>
      </w:r>
      <w:r>
        <w:rPr>
          <w:rFonts w:eastAsia="方正仿宋_GBK"/>
          <w:b/>
          <w:bCs/>
          <w:sz w:val="32"/>
          <w:szCs w:val="32"/>
        </w:rPr>
        <w:t>1</w:t>
      </w:r>
      <w:r>
        <w:rPr>
          <w:rFonts w:eastAsia="方正仿宋_GBK"/>
          <w:b/>
          <w:bCs/>
          <w:sz w:val="32"/>
          <w:szCs w:val="32"/>
        </w:rPr>
        <w:fldChar w:fldCharType="end"/>
      </w:r>
      <w:r>
        <w:rPr>
          <w:rFonts w:eastAsia="方正仿宋_GBK"/>
          <w:b/>
          <w:bCs/>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"_Toc14361" </w:instrText>
      </w:r>
      <w:r>
        <w:fldChar w:fldCharType="separate"/>
      </w:r>
      <w:r>
        <w:rPr>
          <w:rFonts w:eastAsia="方正仿宋_GBK"/>
          <w:sz w:val="32"/>
          <w:szCs w:val="32"/>
          <w:lang w:val="en-GB"/>
        </w:rPr>
        <w:t>1.1</w:t>
      </w:r>
      <w:r>
        <w:rPr>
          <w:rFonts w:eastAsia="方正仿宋_GBK"/>
          <w:sz w:val="32"/>
          <w:szCs w:val="32"/>
        </w:rPr>
        <w:t xml:space="preserve"> </w:t>
      </w:r>
      <w:r>
        <w:rPr>
          <w:rFonts w:eastAsia="方正仿宋_GBK"/>
          <w:sz w:val="32"/>
          <w:szCs w:val="32"/>
          <w:lang w:val="en-GB"/>
        </w:rPr>
        <w:t>编制目的</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_Toc14361 \h </w:instrText>
      </w:r>
      <w:r>
        <w:rPr>
          <w:rFonts w:eastAsia="方正仿宋_GBK"/>
          <w:sz w:val="32"/>
          <w:szCs w:val="32"/>
        </w:rPr>
        <w:fldChar w:fldCharType="separate"/>
      </w:r>
      <w:r>
        <w:rPr>
          <w:rFonts w:eastAsia="方正仿宋_GBK"/>
          <w:sz w:val="32"/>
          <w:szCs w:val="32"/>
        </w:rPr>
        <w:t>1</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"_Toc26001" </w:instrText>
      </w:r>
      <w:r>
        <w:fldChar w:fldCharType="separate"/>
      </w:r>
      <w:r>
        <w:rPr>
          <w:rFonts w:eastAsia="方正仿宋_GBK"/>
          <w:sz w:val="32"/>
          <w:szCs w:val="32"/>
          <w:lang w:val="en-GB"/>
        </w:rPr>
        <w:t>1.2</w:t>
      </w:r>
      <w:r>
        <w:rPr>
          <w:rFonts w:eastAsia="方正仿宋_GBK"/>
          <w:sz w:val="32"/>
          <w:szCs w:val="32"/>
        </w:rPr>
        <w:t xml:space="preserve"> </w:t>
      </w:r>
      <w:r>
        <w:rPr>
          <w:rFonts w:eastAsia="方正仿宋_GBK"/>
          <w:sz w:val="32"/>
          <w:szCs w:val="32"/>
          <w:lang w:val="en-GB"/>
        </w:rPr>
        <w:t>编制依据</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_Toc26001 \h </w:instrText>
      </w:r>
      <w:r>
        <w:rPr>
          <w:rFonts w:eastAsia="方正仿宋_GBK"/>
          <w:sz w:val="32"/>
          <w:szCs w:val="32"/>
        </w:rPr>
        <w:fldChar w:fldCharType="separate"/>
      </w:r>
      <w:r>
        <w:rPr>
          <w:rFonts w:eastAsia="方正仿宋_GBK"/>
          <w:sz w:val="32"/>
          <w:szCs w:val="32"/>
        </w:rPr>
        <w:t>1</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"_Toc33" </w:instrText>
      </w:r>
      <w:r>
        <w:fldChar w:fldCharType="separate"/>
      </w:r>
      <w:r>
        <w:rPr>
          <w:rFonts w:eastAsia="方正仿宋_GBK"/>
          <w:sz w:val="32"/>
          <w:szCs w:val="32"/>
          <w:lang w:val="en-GB"/>
        </w:rPr>
        <w:t>1.3</w:t>
      </w:r>
      <w:r>
        <w:rPr>
          <w:rFonts w:eastAsia="方正仿宋_GBK"/>
          <w:sz w:val="32"/>
          <w:szCs w:val="32"/>
        </w:rPr>
        <w:t xml:space="preserve"> </w:t>
      </w:r>
      <w:r>
        <w:rPr>
          <w:rFonts w:eastAsia="方正仿宋_GBK"/>
          <w:sz w:val="32"/>
          <w:szCs w:val="32"/>
          <w:lang w:val="en-GB"/>
        </w:rPr>
        <w:t>适用范围</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_Toc33 \h </w:instrText>
      </w:r>
      <w:r>
        <w:rPr>
          <w:rFonts w:eastAsia="方正仿宋_GBK"/>
          <w:sz w:val="32"/>
          <w:szCs w:val="32"/>
        </w:rPr>
        <w:fldChar w:fldCharType="separate"/>
      </w:r>
      <w:r>
        <w:rPr>
          <w:rFonts w:eastAsia="方正仿宋_GBK"/>
          <w:sz w:val="32"/>
          <w:szCs w:val="32"/>
        </w:rPr>
        <w:t>1</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"_Toc17465" </w:instrText>
      </w:r>
      <w:r>
        <w:fldChar w:fldCharType="separate"/>
      </w:r>
      <w:r>
        <w:rPr>
          <w:rFonts w:eastAsia="方正仿宋_GBK"/>
          <w:sz w:val="32"/>
          <w:szCs w:val="32"/>
          <w:lang w:val="en-GB"/>
        </w:rPr>
        <w:t>1.4 预案体系</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_Toc17465 \h </w:instrText>
      </w:r>
      <w:r>
        <w:rPr>
          <w:rFonts w:eastAsia="方正仿宋_GBK"/>
          <w:sz w:val="32"/>
          <w:szCs w:val="32"/>
        </w:rPr>
        <w:fldChar w:fldCharType="separate"/>
      </w:r>
      <w:r>
        <w:rPr>
          <w:rFonts w:eastAsia="方正仿宋_GBK"/>
          <w:sz w:val="32"/>
          <w:szCs w:val="32"/>
        </w:rPr>
        <w:t>2</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"_Toc1668" </w:instrText>
      </w:r>
      <w:r>
        <w:fldChar w:fldCharType="separate"/>
      </w:r>
      <w:r>
        <w:rPr>
          <w:rFonts w:eastAsia="方正仿宋_GBK"/>
          <w:sz w:val="32"/>
          <w:szCs w:val="32"/>
          <w:lang w:val="en-GB"/>
        </w:rPr>
        <w:t>1.</w:t>
      </w:r>
      <w:r>
        <w:rPr>
          <w:rFonts w:eastAsia="方正仿宋_GBK"/>
          <w:sz w:val="32"/>
          <w:szCs w:val="32"/>
        </w:rPr>
        <w:t xml:space="preserve">5 </w:t>
      </w:r>
      <w:r>
        <w:rPr>
          <w:rFonts w:eastAsia="方正仿宋_GBK"/>
          <w:sz w:val="32"/>
          <w:szCs w:val="32"/>
          <w:lang w:val="en-GB"/>
        </w:rPr>
        <w:t>工作原则</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_Toc1668 \h </w:instrText>
      </w:r>
      <w:r>
        <w:rPr>
          <w:rFonts w:eastAsia="方正仿宋_GBK"/>
          <w:sz w:val="32"/>
          <w:szCs w:val="32"/>
        </w:rPr>
        <w:fldChar w:fldCharType="separate"/>
      </w:r>
      <w:r>
        <w:rPr>
          <w:rFonts w:eastAsia="方正仿宋_GBK"/>
          <w:sz w:val="32"/>
          <w:szCs w:val="32"/>
        </w:rPr>
        <w:t>2</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rPr>
          <w:rFonts w:eastAsia="方正仿宋_GBK"/>
          <w:b/>
          <w:bCs/>
          <w:sz w:val="32"/>
          <w:szCs w:val="32"/>
        </w:rPr>
      </w:pPr>
      <w:r>
        <w:fldChar w:fldCharType="begin"/>
      </w:r>
      <w:r>
        <w:instrText xml:space="preserve"> HYPERLINK \l "_Toc30236" </w:instrText>
      </w:r>
      <w:r>
        <w:fldChar w:fldCharType="separate"/>
      </w:r>
      <w:r>
        <w:rPr>
          <w:rFonts w:eastAsia="方正仿宋_GBK"/>
          <w:b/>
          <w:bCs/>
          <w:sz w:val="32"/>
          <w:szCs w:val="32"/>
        </w:rPr>
        <w:t>2 组织指挥机构</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_Toc30236 \h </w:instrText>
      </w:r>
      <w:r>
        <w:rPr>
          <w:rFonts w:eastAsia="方正仿宋_GBK"/>
          <w:b/>
          <w:bCs/>
          <w:sz w:val="32"/>
          <w:szCs w:val="32"/>
        </w:rPr>
        <w:fldChar w:fldCharType="separate"/>
      </w:r>
      <w:r>
        <w:rPr>
          <w:rFonts w:eastAsia="方正仿宋_GBK"/>
          <w:b/>
          <w:bCs/>
          <w:sz w:val="32"/>
          <w:szCs w:val="32"/>
        </w:rPr>
        <w:t>3</w:t>
      </w:r>
      <w:r>
        <w:rPr>
          <w:rFonts w:eastAsia="方正仿宋_GBK"/>
          <w:b/>
          <w:bCs/>
          <w:sz w:val="32"/>
          <w:szCs w:val="32"/>
        </w:rPr>
        <w:fldChar w:fldCharType="end"/>
      </w:r>
      <w:r>
        <w:rPr>
          <w:rFonts w:eastAsia="方正仿宋_GBK"/>
          <w:b/>
          <w:bCs/>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"_Toc7518" </w:instrText>
      </w:r>
      <w:r>
        <w:fldChar w:fldCharType="separate"/>
      </w:r>
      <w:r>
        <w:rPr>
          <w:rFonts w:eastAsia="方正仿宋_GBK"/>
          <w:sz w:val="32"/>
          <w:szCs w:val="32"/>
        </w:rPr>
        <w:t>2.1机构组成</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_Toc7518 \h </w:instrText>
      </w:r>
      <w:r>
        <w:rPr>
          <w:rFonts w:eastAsia="方正仿宋_GBK"/>
          <w:sz w:val="32"/>
          <w:szCs w:val="32"/>
        </w:rPr>
        <w:fldChar w:fldCharType="separate"/>
      </w:r>
      <w:r>
        <w:rPr>
          <w:rFonts w:eastAsia="方正仿宋_GBK"/>
          <w:sz w:val="32"/>
          <w:szCs w:val="32"/>
        </w:rPr>
        <w:t>3</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"_Toc14636" </w:instrText>
      </w:r>
      <w:r>
        <w:fldChar w:fldCharType="separate"/>
      </w:r>
      <w:r>
        <w:rPr>
          <w:rFonts w:eastAsia="方正仿宋_GBK"/>
          <w:sz w:val="32"/>
          <w:szCs w:val="32"/>
        </w:rPr>
        <w:t>2.2职能职责</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_Toc14636 \h </w:instrText>
      </w:r>
      <w:r>
        <w:rPr>
          <w:rFonts w:eastAsia="方正仿宋_GBK"/>
          <w:sz w:val="32"/>
          <w:szCs w:val="32"/>
        </w:rPr>
        <w:fldChar w:fldCharType="separate"/>
      </w:r>
      <w:r>
        <w:rPr>
          <w:rFonts w:eastAsia="方正仿宋_GBK"/>
          <w:sz w:val="32"/>
          <w:szCs w:val="32"/>
        </w:rPr>
        <w:t>3</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rPr>
          <w:rFonts w:eastAsia="方正仿宋_GBK"/>
          <w:b/>
          <w:bCs/>
          <w:sz w:val="32"/>
          <w:szCs w:val="32"/>
        </w:rPr>
      </w:pPr>
      <w:r>
        <w:fldChar w:fldCharType="begin"/>
      </w:r>
      <w:r>
        <w:instrText xml:space="preserve"> HYPERLINK \l "_Toc5619" </w:instrText>
      </w:r>
      <w:r>
        <w:fldChar w:fldCharType="separate"/>
      </w:r>
      <w:r>
        <w:rPr>
          <w:rFonts w:eastAsia="方正仿宋_GBK"/>
          <w:b/>
          <w:bCs/>
          <w:sz w:val="32"/>
          <w:szCs w:val="32"/>
        </w:rPr>
        <w:t>3 监测与预警</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_Toc5619 \h </w:instrText>
      </w:r>
      <w:r>
        <w:rPr>
          <w:rFonts w:eastAsia="方正仿宋_GBK"/>
          <w:b/>
          <w:bCs/>
          <w:sz w:val="32"/>
          <w:szCs w:val="32"/>
        </w:rPr>
        <w:fldChar w:fldCharType="separate"/>
      </w:r>
      <w:r>
        <w:rPr>
          <w:rFonts w:eastAsia="方正仿宋_GBK"/>
          <w:b/>
          <w:bCs/>
          <w:sz w:val="32"/>
          <w:szCs w:val="32"/>
        </w:rPr>
        <w:t>7</w:t>
      </w:r>
      <w:r>
        <w:rPr>
          <w:rFonts w:eastAsia="方正仿宋_GBK"/>
          <w:b/>
          <w:bCs/>
          <w:sz w:val="32"/>
          <w:szCs w:val="32"/>
        </w:rPr>
        <w:fldChar w:fldCharType="end"/>
      </w:r>
      <w:r>
        <w:rPr>
          <w:rFonts w:eastAsia="方正仿宋_GBK"/>
          <w:b/>
          <w:bCs/>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"_Toc54" </w:instrText>
      </w:r>
      <w:r>
        <w:fldChar w:fldCharType="separate"/>
      </w:r>
      <w:r>
        <w:rPr>
          <w:rFonts w:eastAsia="方正仿宋_GBK"/>
          <w:sz w:val="32"/>
          <w:szCs w:val="32"/>
        </w:rPr>
        <w:t>3</w:t>
      </w:r>
      <w:r>
        <w:rPr>
          <w:rFonts w:eastAsia="方正仿宋_GBK"/>
          <w:sz w:val="32"/>
          <w:szCs w:val="32"/>
          <w:lang w:val="en-GB"/>
        </w:rPr>
        <w:t>.1 监测</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_Toc54 \h </w:instrText>
      </w:r>
      <w:r>
        <w:rPr>
          <w:rFonts w:eastAsia="方正仿宋_GBK"/>
          <w:sz w:val="32"/>
          <w:szCs w:val="32"/>
        </w:rPr>
        <w:fldChar w:fldCharType="separate"/>
      </w:r>
      <w:r>
        <w:rPr>
          <w:rFonts w:eastAsia="方正仿宋_GBK"/>
          <w:sz w:val="32"/>
          <w:szCs w:val="32"/>
        </w:rPr>
        <w:t>7</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"_Toc19477" </w:instrText>
      </w:r>
      <w:r>
        <w:fldChar w:fldCharType="separate"/>
      </w:r>
      <w:r>
        <w:rPr>
          <w:rFonts w:eastAsia="方正仿宋_GBK"/>
          <w:sz w:val="32"/>
          <w:szCs w:val="32"/>
        </w:rPr>
        <w:t>3</w:t>
      </w:r>
      <w:r>
        <w:rPr>
          <w:rFonts w:eastAsia="方正仿宋_GBK"/>
          <w:sz w:val="32"/>
          <w:szCs w:val="32"/>
          <w:lang w:val="en-GB"/>
        </w:rPr>
        <w:t>.2</w:t>
      </w:r>
      <w:r>
        <w:rPr>
          <w:rFonts w:eastAsia="方正仿宋_GBK"/>
          <w:sz w:val="32"/>
          <w:szCs w:val="32"/>
        </w:rPr>
        <w:t xml:space="preserve"> </w:t>
      </w:r>
      <w:r>
        <w:rPr>
          <w:rFonts w:eastAsia="方正仿宋_GBK"/>
          <w:sz w:val="32"/>
          <w:szCs w:val="32"/>
          <w:lang w:val="en-GB"/>
        </w:rPr>
        <w:t>预警</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_Toc19477 \h </w:instrText>
      </w:r>
      <w:r>
        <w:rPr>
          <w:rFonts w:eastAsia="方正仿宋_GBK"/>
          <w:sz w:val="32"/>
          <w:szCs w:val="32"/>
        </w:rPr>
        <w:fldChar w:fldCharType="separate"/>
      </w:r>
      <w:r>
        <w:rPr>
          <w:rFonts w:eastAsia="方正仿宋_GBK"/>
          <w:sz w:val="32"/>
          <w:szCs w:val="32"/>
        </w:rPr>
        <w:t>7</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rPr>
          <w:rFonts w:eastAsia="方正仿宋_GBK"/>
          <w:b/>
          <w:bCs/>
          <w:sz w:val="32"/>
          <w:szCs w:val="32"/>
        </w:rPr>
      </w:pPr>
      <w:r>
        <w:fldChar w:fldCharType="begin"/>
      </w:r>
      <w:r>
        <w:instrText xml:space="preserve"> HYPERLINK \l "_Toc25396" </w:instrText>
      </w:r>
      <w:r>
        <w:fldChar w:fldCharType="separate"/>
      </w:r>
      <w:r>
        <w:rPr>
          <w:rFonts w:eastAsia="方正仿宋_GBK"/>
          <w:b/>
          <w:bCs/>
          <w:sz w:val="32"/>
          <w:szCs w:val="32"/>
        </w:rPr>
        <w:t>4 应急响应</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_Toc25396 \h </w:instrText>
      </w:r>
      <w:r>
        <w:rPr>
          <w:rFonts w:eastAsia="方正仿宋_GBK"/>
          <w:b/>
          <w:bCs/>
          <w:sz w:val="32"/>
          <w:szCs w:val="32"/>
        </w:rPr>
        <w:fldChar w:fldCharType="separate"/>
      </w:r>
      <w:r>
        <w:rPr>
          <w:rFonts w:eastAsia="方正仿宋_GBK"/>
          <w:b/>
          <w:bCs/>
          <w:sz w:val="32"/>
          <w:szCs w:val="32"/>
        </w:rPr>
        <w:t>11</w:t>
      </w:r>
      <w:r>
        <w:rPr>
          <w:rFonts w:eastAsia="方正仿宋_GBK"/>
          <w:b/>
          <w:bCs/>
          <w:sz w:val="32"/>
          <w:szCs w:val="32"/>
        </w:rPr>
        <w:fldChar w:fldCharType="end"/>
      </w:r>
      <w:r>
        <w:rPr>
          <w:rFonts w:eastAsia="方正仿宋_GBK"/>
          <w:b/>
          <w:bCs/>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"_Toc7572" </w:instrText>
      </w:r>
      <w:r>
        <w:fldChar w:fldCharType="separate"/>
      </w:r>
      <w:r>
        <w:rPr>
          <w:rFonts w:eastAsia="方正仿宋_GBK"/>
          <w:sz w:val="32"/>
          <w:szCs w:val="32"/>
        </w:rPr>
        <w:t>4</w:t>
      </w:r>
      <w:r>
        <w:rPr>
          <w:rFonts w:eastAsia="方正仿宋_GBK"/>
          <w:sz w:val="32"/>
          <w:szCs w:val="32"/>
          <w:lang w:val="en-GB"/>
        </w:rPr>
        <w:t>.1 响应分级</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_Toc7572 \h </w:instrText>
      </w:r>
      <w:r>
        <w:rPr>
          <w:rFonts w:eastAsia="方正仿宋_GBK"/>
          <w:sz w:val="32"/>
          <w:szCs w:val="32"/>
        </w:rPr>
        <w:fldChar w:fldCharType="separate"/>
      </w:r>
      <w:r>
        <w:rPr>
          <w:rFonts w:eastAsia="方正仿宋_GBK"/>
          <w:sz w:val="32"/>
          <w:szCs w:val="32"/>
        </w:rPr>
        <w:t>11</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"_Toc24425" </w:instrText>
      </w:r>
      <w:r>
        <w:fldChar w:fldCharType="separate"/>
      </w:r>
      <w:r>
        <w:rPr>
          <w:rFonts w:eastAsia="方正仿宋_GBK"/>
          <w:sz w:val="32"/>
          <w:szCs w:val="32"/>
        </w:rPr>
        <w:t>4</w:t>
      </w:r>
      <w:r>
        <w:rPr>
          <w:rFonts w:eastAsia="方正仿宋_GBK"/>
          <w:sz w:val="32"/>
          <w:szCs w:val="32"/>
          <w:lang w:val="en-GB"/>
        </w:rPr>
        <w:t>.2 响应措施</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_Toc24425 \h </w:instrText>
      </w:r>
      <w:r>
        <w:rPr>
          <w:rFonts w:eastAsia="方正仿宋_GBK"/>
          <w:sz w:val="32"/>
          <w:szCs w:val="32"/>
        </w:rPr>
        <w:fldChar w:fldCharType="separate"/>
      </w:r>
      <w:r>
        <w:rPr>
          <w:rFonts w:eastAsia="方正仿宋_GBK"/>
          <w:sz w:val="32"/>
          <w:szCs w:val="32"/>
        </w:rPr>
        <w:t>11</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rPr>
          <w:rFonts w:eastAsia="方正仿宋_GBK"/>
          <w:b/>
          <w:bCs/>
          <w:sz w:val="32"/>
          <w:szCs w:val="32"/>
        </w:rPr>
      </w:pPr>
      <w:r>
        <w:fldChar w:fldCharType="begin"/>
      </w:r>
      <w:r>
        <w:instrText xml:space="preserve"> HYPERLINK \l "_Toc13948" </w:instrText>
      </w:r>
      <w:r>
        <w:fldChar w:fldCharType="separate"/>
      </w:r>
      <w:r>
        <w:rPr>
          <w:rFonts w:eastAsia="方正仿宋_GBK"/>
          <w:b/>
          <w:bCs/>
          <w:sz w:val="32"/>
          <w:szCs w:val="32"/>
        </w:rPr>
        <w:t>5 信息公开</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_Toc13948 \h </w:instrText>
      </w:r>
      <w:r>
        <w:rPr>
          <w:rFonts w:eastAsia="方正仿宋_GBK"/>
          <w:b/>
          <w:bCs/>
          <w:sz w:val="32"/>
          <w:szCs w:val="32"/>
        </w:rPr>
        <w:fldChar w:fldCharType="separate"/>
      </w:r>
      <w:r>
        <w:rPr>
          <w:rFonts w:eastAsia="方正仿宋_GBK"/>
          <w:b/>
          <w:bCs/>
          <w:sz w:val="32"/>
          <w:szCs w:val="32"/>
        </w:rPr>
        <w:t>17</w:t>
      </w:r>
      <w:r>
        <w:rPr>
          <w:rFonts w:eastAsia="方正仿宋_GBK"/>
          <w:b/>
          <w:bCs/>
          <w:sz w:val="32"/>
          <w:szCs w:val="32"/>
        </w:rPr>
        <w:fldChar w:fldCharType="end"/>
      </w:r>
      <w:r>
        <w:rPr>
          <w:rFonts w:eastAsia="方正仿宋_GBK"/>
          <w:b/>
          <w:bCs/>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"_Toc19778" </w:instrText>
      </w:r>
      <w:r>
        <w:fldChar w:fldCharType="separate"/>
      </w:r>
      <w:r>
        <w:rPr>
          <w:rFonts w:eastAsia="方正仿宋_GBK"/>
          <w:sz w:val="32"/>
          <w:szCs w:val="32"/>
        </w:rPr>
        <w:t>5.1 应急响应报告和通报</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_Toc19778 \h </w:instrText>
      </w:r>
      <w:r>
        <w:rPr>
          <w:rFonts w:eastAsia="方正仿宋_GBK"/>
          <w:sz w:val="32"/>
          <w:szCs w:val="32"/>
        </w:rPr>
        <w:fldChar w:fldCharType="separate"/>
      </w:r>
      <w:r>
        <w:rPr>
          <w:rFonts w:eastAsia="方正仿宋_GBK"/>
          <w:sz w:val="32"/>
          <w:szCs w:val="32"/>
        </w:rPr>
        <w:t>17</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"_Toc8165" </w:instrText>
      </w:r>
      <w:r>
        <w:fldChar w:fldCharType="separate"/>
      </w:r>
      <w:r>
        <w:rPr>
          <w:rFonts w:eastAsia="方正仿宋_GBK"/>
          <w:sz w:val="32"/>
          <w:szCs w:val="32"/>
        </w:rPr>
        <w:t>5.2 新闻发布</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_Toc8165 \h </w:instrText>
      </w:r>
      <w:r>
        <w:rPr>
          <w:rFonts w:eastAsia="方正仿宋_GBK"/>
          <w:sz w:val="32"/>
          <w:szCs w:val="32"/>
        </w:rPr>
        <w:fldChar w:fldCharType="separate"/>
      </w:r>
      <w:r>
        <w:rPr>
          <w:rFonts w:eastAsia="方正仿宋_GBK"/>
          <w:sz w:val="32"/>
          <w:szCs w:val="32"/>
        </w:rPr>
        <w:t>17</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rPr>
          <w:rFonts w:eastAsia="方正仿宋_GBK"/>
          <w:b/>
          <w:bCs/>
          <w:sz w:val="32"/>
          <w:szCs w:val="32"/>
        </w:rPr>
      </w:pPr>
      <w:r>
        <w:fldChar w:fldCharType="begin"/>
      </w:r>
      <w:r>
        <w:instrText xml:space="preserve"> HYPERLINK \l "_Toc25161" </w:instrText>
      </w:r>
      <w:r>
        <w:fldChar w:fldCharType="separate"/>
      </w:r>
      <w:r>
        <w:rPr>
          <w:rFonts w:eastAsia="方正仿宋_GBK"/>
          <w:b/>
          <w:bCs/>
          <w:sz w:val="32"/>
          <w:szCs w:val="32"/>
        </w:rPr>
        <w:t>6 总结评估</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_Toc25161 \h </w:instrText>
      </w:r>
      <w:r>
        <w:rPr>
          <w:rFonts w:eastAsia="方正仿宋_GBK"/>
          <w:b/>
          <w:bCs/>
          <w:sz w:val="32"/>
          <w:szCs w:val="32"/>
        </w:rPr>
        <w:fldChar w:fldCharType="separate"/>
      </w:r>
      <w:r>
        <w:rPr>
          <w:rFonts w:eastAsia="方正仿宋_GBK"/>
          <w:b/>
          <w:bCs/>
          <w:sz w:val="32"/>
          <w:szCs w:val="32"/>
        </w:rPr>
        <w:t>17</w:t>
      </w:r>
      <w:r>
        <w:rPr>
          <w:rFonts w:eastAsia="方正仿宋_GBK"/>
          <w:b/>
          <w:bCs/>
          <w:sz w:val="32"/>
          <w:szCs w:val="32"/>
        </w:rPr>
        <w:fldChar w:fldCharType="end"/>
      </w:r>
      <w:r>
        <w:rPr>
          <w:rFonts w:eastAsia="方正仿宋_GBK"/>
          <w:b/>
          <w:bCs/>
          <w:sz w:val="32"/>
          <w:szCs w:val="32"/>
        </w:rPr>
        <w:fldChar w:fldCharType="end"/>
      </w:r>
    </w:p>
    <w:p>
      <w:pPr>
        <w:tabs>
          <w:tab w:val="right" w:leader="dot" w:pos="8844"/>
        </w:tabs>
        <w:spacing w:line="540" w:lineRule="exact"/>
        <w:rPr>
          <w:rFonts w:eastAsia="方正仿宋_GBK"/>
          <w:sz w:val="32"/>
          <w:szCs w:val="32"/>
        </w:rPr>
      </w:pPr>
      <w:r>
        <w:fldChar w:fldCharType="begin"/>
      </w:r>
      <w:r>
        <w:instrText xml:space="preserve"> HYPERLINK \l "_Toc11938" </w:instrText>
      </w:r>
      <w:r>
        <w:fldChar w:fldCharType="separate"/>
      </w:r>
      <w:r>
        <w:rPr>
          <w:rFonts w:eastAsia="方正仿宋_GBK"/>
          <w:b/>
          <w:bCs/>
          <w:sz w:val="32"/>
          <w:szCs w:val="32"/>
        </w:rPr>
        <w:t>7 应急保障</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_Toc11938 \h </w:instrText>
      </w:r>
      <w:r>
        <w:rPr>
          <w:rFonts w:eastAsia="方正仿宋_GBK"/>
          <w:b/>
          <w:bCs/>
          <w:sz w:val="32"/>
          <w:szCs w:val="32"/>
        </w:rPr>
        <w:fldChar w:fldCharType="separate"/>
      </w:r>
      <w:r>
        <w:rPr>
          <w:rFonts w:eastAsia="方正仿宋_GBK"/>
          <w:b/>
          <w:bCs/>
          <w:sz w:val="32"/>
          <w:szCs w:val="32"/>
        </w:rPr>
        <w:t>17</w:t>
      </w:r>
      <w:r>
        <w:rPr>
          <w:rFonts w:eastAsia="方正仿宋_GBK"/>
          <w:b/>
          <w:bCs/>
          <w:sz w:val="32"/>
          <w:szCs w:val="32"/>
        </w:rPr>
        <w:fldChar w:fldCharType="end"/>
      </w:r>
      <w:r>
        <w:rPr>
          <w:rFonts w:eastAsia="方正仿宋_GBK"/>
          <w:b/>
          <w:bCs/>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"_Toc1972" </w:instrText>
      </w:r>
      <w:r>
        <w:fldChar w:fldCharType="separate"/>
      </w:r>
      <w:r>
        <w:rPr>
          <w:rFonts w:eastAsia="方正仿宋_GBK"/>
          <w:sz w:val="32"/>
          <w:szCs w:val="32"/>
        </w:rPr>
        <w:t>7.1 队伍保障</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_Toc1972 \h </w:instrText>
      </w:r>
      <w:r>
        <w:rPr>
          <w:rFonts w:eastAsia="方正仿宋_GBK"/>
          <w:sz w:val="32"/>
          <w:szCs w:val="32"/>
        </w:rPr>
        <w:fldChar w:fldCharType="separate"/>
      </w:r>
      <w:r>
        <w:rPr>
          <w:rFonts w:eastAsia="方正仿宋_GBK"/>
          <w:sz w:val="32"/>
          <w:szCs w:val="32"/>
        </w:rPr>
        <w:t>17</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"_Toc6169" </w:instrText>
      </w:r>
      <w:r>
        <w:fldChar w:fldCharType="separate"/>
      </w:r>
      <w:r>
        <w:rPr>
          <w:rFonts w:eastAsia="方正仿宋_GBK"/>
          <w:sz w:val="32"/>
          <w:szCs w:val="32"/>
        </w:rPr>
        <w:t>7.2 物资保障</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_Toc6169 \h </w:instrText>
      </w:r>
      <w:r>
        <w:rPr>
          <w:rFonts w:eastAsia="方正仿宋_GBK"/>
          <w:sz w:val="32"/>
          <w:szCs w:val="32"/>
        </w:rPr>
        <w:fldChar w:fldCharType="separate"/>
      </w:r>
      <w:r>
        <w:rPr>
          <w:rFonts w:eastAsia="方正仿宋_GBK"/>
          <w:sz w:val="32"/>
          <w:szCs w:val="32"/>
        </w:rPr>
        <w:t>18</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"_Toc21069" </w:instrText>
      </w:r>
      <w:r>
        <w:fldChar w:fldCharType="separate"/>
      </w:r>
      <w:r>
        <w:rPr>
          <w:rFonts w:eastAsia="方正仿宋_GBK"/>
          <w:sz w:val="32"/>
          <w:szCs w:val="32"/>
        </w:rPr>
        <w:t>7.3 经费保障</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_Toc21069 \h </w:instrText>
      </w:r>
      <w:r>
        <w:rPr>
          <w:rFonts w:eastAsia="方正仿宋_GBK"/>
          <w:sz w:val="32"/>
          <w:szCs w:val="32"/>
        </w:rPr>
        <w:fldChar w:fldCharType="separate"/>
      </w:r>
      <w:r>
        <w:rPr>
          <w:rFonts w:eastAsia="方正仿宋_GBK"/>
          <w:sz w:val="32"/>
          <w:szCs w:val="32"/>
        </w:rPr>
        <w:t>18</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"_Toc26361" </w:instrText>
      </w:r>
      <w:r>
        <w:fldChar w:fldCharType="separate"/>
      </w:r>
      <w:r>
        <w:rPr>
          <w:rFonts w:eastAsia="方正仿宋_GBK"/>
          <w:sz w:val="32"/>
          <w:szCs w:val="32"/>
        </w:rPr>
        <w:t>7.4 信息联络保障</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_Toc26361 \h </w:instrText>
      </w:r>
      <w:r>
        <w:rPr>
          <w:rFonts w:eastAsia="方正仿宋_GBK"/>
          <w:sz w:val="32"/>
          <w:szCs w:val="32"/>
        </w:rPr>
        <w:fldChar w:fldCharType="separate"/>
      </w:r>
      <w:r>
        <w:rPr>
          <w:rFonts w:eastAsia="方正仿宋_GBK"/>
          <w:sz w:val="32"/>
          <w:szCs w:val="32"/>
        </w:rPr>
        <w:t>18</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"_Toc3788" </w:instrText>
      </w:r>
      <w:r>
        <w:fldChar w:fldCharType="separate"/>
      </w:r>
      <w:r>
        <w:rPr>
          <w:rFonts w:eastAsia="方正仿宋_GBK"/>
          <w:sz w:val="32"/>
          <w:szCs w:val="32"/>
        </w:rPr>
        <w:t>7.5 其他保障</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_Toc3788 \h </w:instrText>
      </w:r>
      <w:r>
        <w:rPr>
          <w:rFonts w:eastAsia="方正仿宋_GBK"/>
          <w:sz w:val="32"/>
          <w:szCs w:val="32"/>
        </w:rPr>
        <w:fldChar w:fldCharType="separate"/>
      </w:r>
      <w:r>
        <w:rPr>
          <w:rFonts w:eastAsia="方正仿宋_GBK"/>
          <w:sz w:val="32"/>
          <w:szCs w:val="32"/>
        </w:rPr>
        <w:t>18</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rPr>
          <w:rFonts w:eastAsia="方正仿宋_GBK"/>
          <w:b/>
          <w:bCs/>
          <w:sz w:val="32"/>
          <w:szCs w:val="32"/>
        </w:rPr>
      </w:pPr>
      <w:r>
        <w:fldChar w:fldCharType="begin"/>
      </w:r>
      <w:r>
        <w:instrText xml:space="preserve"> HYPERLINK \l "_Toc5821" </w:instrText>
      </w:r>
      <w:r>
        <w:fldChar w:fldCharType="separate"/>
      </w:r>
      <w:r>
        <w:rPr>
          <w:rFonts w:eastAsia="方正仿宋_GBK"/>
          <w:b/>
          <w:bCs/>
          <w:sz w:val="32"/>
          <w:szCs w:val="32"/>
        </w:rPr>
        <w:t>8 监督问责</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_Toc5821 \h </w:instrText>
      </w:r>
      <w:r>
        <w:rPr>
          <w:rFonts w:eastAsia="方正仿宋_GBK"/>
          <w:b/>
          <w:bCs/>
          <w:sz w:val="32"/>
          <w:szCs w:val="32"/>
        </w:rPr>
        <w:fldChar w:fldCharType="separate"/>
      </w:r>
      <w:r>
        <w:rPr>
          <w:rFonts w:eastAsia="方正仿宋_GBK"/>
          <w:b/>
          <w:bCs/>
          <w:sz w:val="32"/>
          <w:szCs w:val="32"/>
        </w:rPr>
        <w:t>18</w:t>
      </w:r>
      <w:r>
        <w:rPr>
          <w:rFonts w:eastAsia="方正仿宋_GBK"/>
          <w:b/>
          <w:bCs/>
          <w:sz w:val="32"/>
          <w:szCs w:val="32"/>
        </w:rPr>
        <w:fldChar w:fldCharType="end"/>
      </w:r>
      <w:r>
        <w:rPr>
          <w:rFonts w:eastAsia="方正仿宋_GBK"/>
          <w:b/>
          <w:bCs/>
          <w:sz w:val="32"/>
          <w:szCs w:val="32"/>
        </w:rPr>
        <w:fldChar w:fldCharType="end"/>
      </w:r>
    </w:p>
    <w:p>
      <w:pPr>
        <w:tabs>
          <w:tab w:val="right" w:leader="dot" w:pos="8844"/>
        </w:tabs>
        <w:spacing w:line="540" w:lineRule="exact"/>
        <w:rPr>
          <w:rFonts w:eastAsia="方正仿宋_GBK"/>
          <w:sz w:val="32"/>
          <w:szCs w:val="32"/>
        </w:rPr>
      </w:pPr>
      <w:r>
        <w:fldChar w:fldCharType="begin"/>
      </w:r>
      <w:r>
        <w:instrText xml:space="preserve"> HYPERLINK \l "_Toc11741" </w:instrText>
      </w:r>
      <w:r>
        <w:fldChar w:fldCharType="separate"/>
      </w:r>
      <w:r>
        <w:rPr>
          <w:rFonts w:eastAsia="方正仿宋_GBK"/>
          <w:b/>
          <w:bCs/>
          <w:sz w:val="32"/>
          <w:szCs w:val="32"/>
        </w:rPr>
        <w:t>9 附则</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_Toc11741 \h </w:instrText>
      </w:r>
      <w:r>
        <w:rPr>
          <w:rFonts w:eastAsia="方正仿宋_GBK"/>
          <w:b/>
          <w:bCs/>
          <w:sz w:val="32"/>
          <w:szCs w:val="32"/>
        </w:rPr>
        <w:fldChar w:fldCharType="separate"/>
      </w:r>
      <w:r>
        <w:rPr>
          <w:rFonts w:eastAsia="方正仿宋_GBK"/>
          <w:b/>
          <w:bCs/>
          <w:sz w:val="32"/>
          <w:szCs w:val="32"/>
        </w:rPr>
        <w:t>19</w:t>
      </w:r>
      <w:r>
        <w:rPr>
          <w:rFonts w:eastAsia="方正仿宋_GBK"/>
          <w:b/>
          <w:bCs/>
          <w:sz w:val="32"/>
          <w:szCs w:val="32"/>
        </w:rPr>
        <w:fldChar w:fldCharType="end"/>
      </w:r>
      <w:r>
        <w:rPr>
          <w:rFonts w:eastAsia="方正仿宋_GBK"/>
          <w:b/>
          <w:bCs/>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"_Toc5139" </w:instrText>
      </w:r>
      <w:r>
        <w:fldChar w:fldCharType="separate"/>
      </w:r>
      <w:r>
        <w:rPr>
          <w:rFonts w:eastAsia="方正仿宋_GBK"/>
          <w:sz w:val="32"/>
          <w:szCs w:val="32"/>
        </w:rPr>
        <w:t>9.1 预案管理</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_Toc5139 \h </w:instrText>
      </w:r>
      <w:r>
        <w:rPr>
          <w:rFonts w:eastAsia="方正仿宋_GBK"/>
          <w:sz w:val="32"/>
          <w:szCs w:val="32"/>
        </w:rPr>
        <w:fldChar w:fldCharType="separate"/>
      </w:r>
      <w:r>
        <w:rPr>
          <w:rFonts w:eastAsia="方正仿宋_GBK"/>
          <w:sz w:val="32"/>
          <w:szCs w:val="32"/>
        </w:rPr>
        <w:t>19</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ind w:left="412" w:leftChars="200"/>
        <w:rPr>
          <w:rFonts w:eastAsia="方正仿宋_GBK"/>
          <w:sz w:val="32"/>
          <w:szCs w:val="32"/>
        </w:rPr>
      </w:pPr>
      <w:r>
        <w:fldChar w:fldCharType="begin"/>
      </w:r>
      <w:r>
        <w:instrText xml:space="preserve"> HYPERLINK \l "_Toc30049" </w:instrText>
      </w:r>
      <w:r>
        <w:fldChar w:fldCharType="separate"/>
      </w:r>
      <w:r>
        <w:rPr>
          <w:rFonts w:eastAsia="方正仿宋_GBK"/>
          <w:sz w:val="32"/>
          <w:szCs w:val="32"/>
        </w:rPr>
        <w:t>9.2</w:t>
      </w:r>
      <w:r>
        <w:rPr>
          <w:rFonts w:eastAsia="方正仿宋_GBK"/>
          <w:sz w:val="32"/>
          <w:szCs w:val="32"/>
          <w:lang w:val="en-GB"/>
        </w:rPr>
        <w:t>实施时间</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_Toc30049 \h </w:instrText>
      </w:r>
      <w:r>
        <w:rPr>
          <w:rFonts w:eastAsia="方正仿宋_GBK"/>
          <w:sz w:val="32"/>
          <w:szCs w:val="32"/>
        </w:rPr>
        <w:fldChar w:fldCharType="separate"/>
      </w:r>
      <w:r>
        <w:rPr>
          <w:rFonts w:eastAsia="方正仿宋_GBK"/>
          <w:sz w:val="32"/>
          <w:szCs w:val="32"/>
        </w:rPr>
        <w:t>19</w:t>
      </w:r>
      <w:r>
        <w:rPr>
          <w:rFonts w:eastAsia="方正仿宋_GBK"/>
          <w:sz w:val="32"/>
          <w:szCs w:val="32"/>
        </w:rPr>
        <w:fldChar w:fldCharType="end"/>
      </w:r>
      <w:r>
        <w:rPr>
          <w:rFonts w:eastAsia="方正仿宋_GBK"/>
          <w:sz w:val="32"/>
          <w:szCs w:val="32"/>
        </w:rPr>
        <w:fldChar w:fldCharType="end"/>
      </w:r>
    </w:p>
    <w:p>
      <w:pPr>
        <w:tabs>
          <w:tab w:val="right" w:leader="dot" w:pos="8844"/>
        </w:tabs>
        <w:spacing w:line="540" w:lineRule="exact"/>
        <w:rPr>
          <w:rFonts w:eastAsia="方正仿宋_GBK"/>
          <w:b/>
          <w:bCs/>
          <w:sz w:val="32"/>
          <w:szCs w:val="32"/>
        </w:rPr>
      </w:pPr>
      <w:r>
        <w:fldChar w:fldCharType="begin"/>
      </w:r>
      <w:r>
        <w:instrText xml:space="preserve"> HYPERLINK \l "_Toc4507" </w:instrText>
      </w:r>
      <w:r>
        <w:fldChar w:fldCharType="separate"/>
      </w:r>
      <w:r>
        <w:rPr>
          <w:rFonts w:eastAsia="方正仿宋_GBK"/>
          <w:b/>
          <w:bCs/>
          <w:sz w:val="32"/>
          <w:szCs w:val="32"/>
        </w:rPr>
        <w:t>附件1</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_Toc4507 \h </w:instrText>
      </w:r>
      <w:r>
        <w:rPr>
          <w:rFonts w:eastAsia="方正仿宋_GBK"/>
          <w:b/>
          <w:bCs/>
          <w:sz w:val="32"/>
          <w:szCs w:val="32"/>
        </w:rPr>
        <w:fldChar w:fldCharType="separate"/>
      </w:r>
      <w:r>
        <w:rPr>
          <w:rFonts w:eastAsia="方正仿宋_GBK"/>
          <w:b/>
          <w:bCs/>
          <w:sz w:val="32"/>
          <w:szCs w:val="32"/>
        </w:rPr>
        <w:t>21</w:t>
      </w:r>
      <w:r>
        <w:rPr>
          <w:rFonts w:eastAsia="方正仿宋_GBK"/>
          <w:b/>
          <w:bCs/>
          <w:sz w:val="32"/>
          <w:szCs w:val="32"/>
        </w:rPr>
        <w:fldChar w:fldCharType="end"/>
      </w:r>
      <w:r>
        <w:rPr>
          <w:rFonts w:eastAsia="方正仿宋_GBK"/>
          <w:b/>
          <w:bCs/>
          <w:sz w:val="32"/>
          <w:szCs w:val="32"/>
        </w:rPr>
        <w:fldChar w:fldCharType="end"/>
      </w:r>
    </w:p>
    <w:p>
      <w:pPr>
        <w:tabs>
          <w:tab w:val="right" w:leader="dot" w:pos="8844"/>
        </w:tabs>
        <w:spacing w:line="540" w:lineRule="exact"/>
        <w:rPr>
          <w:rFonts w:eastAsia="方正仿宋_GBK"/>
          <w:b/>
          <w:bCs/>
          <w:sz w:val="32"/>
          <w:szCs w:val="32"/>
        </w:rPr>
      </w:pPr>
      <w:r>
        <w:fldChar w:fldCharType="begin"/>
      </w:r>
      <w:r>
        <w:instrText xml:space="preserve"> HYPERLINK \l "_Toc18604" </w:instrText>
      </w:r>
      <w:r>
        <w:fldChar w:fldCharType="separate"/>
      </w:r>
      <w:r>
        <w:rPr>
          <w:rFonts w:eastAsia="方正仿宋_GBK"/>
          <w:b/>
          <w:bCs/>
          <w:sz w:val="32"/>
          <w:szCs w:val="32"/>
        </w:rPr>
        <w:t>附件2</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_Toc18604 \h </w:instrText>
      </w:r>
      <w:r>
        <w:rPr>
          <w:rFonts w:eastAsia="方正仿宋_GBK"/>
          <w:b/>
          <w:bCs/>
          <w:sz w:val="32"/>
          <w:szCs w:val="32"/>
        </w:rPr>
        <w:fldChar w:fldCharType="separate"/>
      </w:r>
      <w:r>
        <w:rPr>
          <w:rFonts w:eastAsia="方正仿宋_GBK"/>
          <w:b/>
          <w:bCs/>
          <w:sz w:val="32"/>
          <w:szCs w:val="32"/>
        </w:rPr>
        <w:t>23</w:t>
      </w:r>
      <w:r>
        <w:rPr>
          <w:rFonts w:eastAsia="方正仿宋_GBK"/>
          <w:b/>
          <w:bCs/>
          <w:sz w:val="32"/>
          <w:szCs w:val="32"/>
        </w:rPr>
        <w:fldChar w:fldCharType="end"/>
      </w:r>
      <w:r>
        <w:rPr>
          <w:rFonts w:eastAsia="方正仿宋_GBK"/>
          <w:b/>
          <w:bCs/>
          <w:sz w:val="32"/>
          <w:szCs w:val="32"/>
        </w:rPr>
        <w:fldChar w:fldCharType="end"/>
      </w:r>
    </w:p>
    <w:p>
      <w:pPr>
        <w:tabs>
          <w:tab w:val="right" w:leader="dot" w:pos="8844"/>
        </w:tabs>
        <w:spacing w:line="540" w:lineRule="exact"/>
        <w:rPr>
          <w:b/>
          <w:bCs/>
          <w:sz w:val="32"/>
          <w:szCs w:val="32"/>
        </w:rPr>
      </w:pPr>
      <w:r>
        <w:fldChar w:fldCharType="begin"/>
      </w:r>
      <w:r>
        <w:instrText xml:space="preserve"> HYPERLINK \l "_Toc23465" </w:instrText>
      </w:r>
      <w:r>
        <w:fldChar w:fldCharType="separate"/>
      </w:r>
      <w:r>
        <w:rPr>
          <w:rFonts w:eastAsia="方正仿宋_GBK"/>
          <w:b/>
          <w:bCs/>
          <w:sz w:val="32"/>
          <w:szCs w:val="32"/>
        </w:rPr>
        <w:t>附件3</w:t>
      </w:r>
      <w:r>
        <w:rPr>
          <w:rFonts w:eastAsia="方正仿宋_GBK"/>
          <w:b/>
          <w:bCs/>
          <w:sz w:val="32"/>
          <w:szCs w:val="32"/>
        </w:rPr>
        <w:tab/>
      </w:r>
      <w:r>
        <w:rPr>
          <w:rFonts w:eastAsia="方正仿宋_GBK"/>
          <w:b/>
          <w:bCs/>
          <w:sz w:val="32"/>
          <w:szCs w:val="32"/>
        </w:rPr>
        <w:fldChar w:fldCharType="begin"/>
      </w:r>
      <w:r>
        <w:rPr>
          <w:rFonts w:eastAsia="方正仿宋_GBK"/>
          <w:b/>
          <w:bCs/>
          <w:sz w:val="32"/>
          <w:szCs w:val="32"/>
        </w:rPr>
        <w:instrText xml:space="preserve"> PAGEREF _Toc23465 \h </w:instrText>
      </w:r>
      <w:r>
        <w:rPr>
          <w:rFonts w:eastAsia="方正仿宋_GBK"/>
          <w:b/>
          <w:bCs/>
          <w:sz w:val="32"/>
          <w:szCs w:val="32"/>
        </w:rPr>
        <w:fldChar w:fldCharType="separate"/>
      </w:r>
      <w:r>
        <w:rPr>
          <w:rFonts w:eastAsia="方正仿宋_GBK"/>
          <w:b/>
          <w:bCs/>
          <w:sz w:val="32"/>
          <w:szCs w:val="32"/>
        </w:rPr>
        <w:t>24</w:t>
      </w:r>
      <w:r>
        <w:rPr>
          <w:rFonts w:eastAsia="方正仿宋_GBK"/>
          <w:b/>
          <w:bCs/>
          <w:sz w:val="32"/>
          <w:szCs w:val="32"/>
        </w:rPr>
        <w:fldChar w:fldCharType="end"/>
      </w:r>
      <w:r>
        <w:rPr>
          <w:rFonts w:eastAsia="方正仿宋_GBK"/>
          <w:b/>
          <w:bCs/>
          <w:sz w:val="32"/>
          <w:szCs w:val="32"/>
        </w:rPr>
        <w:fldChar w:fldCharType="end"/>
      </w:r>
    </w:p>
    <w:p>
      <w:pPr>
        <w:spacing w:line="540" w:lineRule="exact"/>
        <w:jc w:val="center"/>
        <w:rPr>
          <w:rFonts w:eastAsia="方正小标宋简体"/>
          <w:spacing w:val="-4"/>
          <w:kern w:val="44"/>
          <w:sz w:val="44"/>
          <w:szCs w:val="44"/>
        </w:rPr>
      </w:pPr>
      <w:r>
        <w:rPr>
          <w:rFonts w:hint="eastAsia" w:ascii="方正仿宋_GBK" w:hAnsi="方正仿宋_GBK" w:eastAsia="方正仿宋_GBK" w:cs="方正仿宋_GBK"/>
          <w:spacing w:val="-4"/>
          <w:kern w:val="44"/>
          <w:sz w:val="32"/>
          <w:szCs w:val="32"/>
        </w:rPr>
        <w:fldChar w:fldCharType="end"/>
      </w:r>
    </w:p>
    <w:p>
      <w:pPr>
        <w:keepNext/>
        <w:keepLines/>
        <w:snapToGrid w:val="0"/>
        <w:spacing w:line="560" w:lineRule="exact"/>
        <w:jc w:val="center"/>
        <w:rPr>
          <w:rFonts w:eastAsia="方正小标宋简体"/>
          <w:spacing w:val="-4"/>
          <w:kern w:val="44"/>
          <w:sz w:val="44"/>
          <w:szCs w:val="44"/>
        </w:rPr>
        <w:sectPr>
          <w:footerReference r:id="rId5" w:type="default"/>
          <w:pgSz w:w="11906" w:h="16838"/>
          <w:pgMar w:top="2098" w:right="1474" w:bottom="1984" w:left="1588" w:header="851" w:footer="1474" w:gutter="0"/>
          <w:pgNumType w:start="1"/>
          <w:cols w:space="720" w:num="1"/>
          <w:docGrid w:type="linesAndChars" w:linePitch="579" w:charSpace="-849"/>
        </w:sectPr>
      </w:pPr>
    </w:p>
    <w:p>
      <w:pPr>
        <w:keepNext/>
        <w:keepLines/>
        <w:snapToGrid w:val="0"/>
        <w:spacing w:line="560" w:lineRule="exact"/>
        <w:ind w:firstLine="632" w:firstLineChars="200"/>
        <w:outlineLvl w:val="0"/>
        <w:rPr>
          <w:rFonts w:eastAsia="方正黑体_GBK"/>
          <w:b/>
          <w:bCs/>
          <w:kern w:val="44"/>
          <w:sz w:val="32"/>
          <w:szCs w:val="44"/>
        </w:rPr>
      </w:pPr>
      <w:bookmarkStart w:id="5" w:name="_Toc18597"/>
      <w:bookmarkStart w:id="6" w:name="_Toc8948"/>
      <w:r>
        <w:rPr>
          <w:rFonts w:eastAsia="方正黑体_GBK"/>
          <w:b/>
          <w:bCs/>
          <w:kern w:val="44"/>
          <w:sz w:val="32"/>
          <w:szCs w:val="44"/>
        </w:rPr>
        <w:t>1总则</w:t>
      </w:r>
      <w:bookmarkEnd w:id="5"/>
      <w:bookmarkEnd w:id="6"/>
    </w:p>
    <w:p>
      <w:pPr>
        <w:keepNext/>
        <w:keepLines/>
        <w:snapToGrid w:val="0"/>
        <w:spacing w:line="560" w:lineRule="exact"/>
        <w:ind w:firstLine="632" w:firstLineChars="200"/>
        <w:outlineLvl w:val="1"/>
        <w:rPr>
          <w:rFonts w:eastAsia="方正楷体_GBK"/>
          <w:b/>
          <w:bCs/>
          <w:sz w:val="32"/>
          <w:szCs w:val="32"/>
          <w:lang w:val="en-GB"/>
        </w:rPr>
      </w:pPr>
      <w:bookmarkStart w:id="7" w:name="_Toc14361"/>
      <w:bookmarkStart w:id="8" w:name="_Toc30357"/>
      <w:r>
        <w:rPr>
          <w:rFonts w:eastAsia="方正楷体_GBK"/>
          <w:b/>
          <w:bCs/>
          <w:sz w:val="32"/>
          <w:szCs w:val="32"/>
          <w:lang w:val="en-GB"/>
        </w:rPr>
        <w:t>1.1</w:t>
      </w:r>
      <w:r>
        <w:rPr>
          <w:rFonts w:eastAsia="方正楷体_GBK"/>
          <w:b/>
          <w:bCs/>
          <w:sz w:val="32"/>
          <w:szCs w:val="32"/>
        </w:rPr>
        <w:t xml:space="preserve"> </w:t>
      </w:r>
      <w:r>
        <w:rPr>
          <w:rFonts w:eastAsia="方正楷体_GBK"/>
          <w:b/>
          <w:bCs/>
          <w:sz w:val="32"/>
          <w:szCs w:val="32"/>
          <w:lang w:val="en-GB"/>
        </w:rPr>
        <w:t>编制目的</w:t>
      </w:r>
      <w:bookmarkEnd w:id="7"/>
      <w:bookmarkEnd w:id="8"/>
    </w:p>
    <w:p>
      <w:pPr>
        <w:snapToGrid w:val="0"/>
        <w:spacing w:line="560" w:lineRule="exact"/>
        <w:ind w:firstLine="632" w:firstLineChars="200"/>
        <w:rPr>
          <w:rFonts w:eastAsia="方正仿宋_GBK"/>
          <w:bCs/>
          <w:sz w:val="32"/>
          <w:szCs w:val="32"/>
        </w:rPr>
      </w:pPr>
      <w:r>
        <w:rPr>
          <w:rFonts w:hint="eastAsia" w:eastAsia="方正仿宋_GBK"/>
          <w:sz w:val="32"/>
        </w:rPr>
        <w:t>为进一步完善两江新区重污染天气应对机制</w:t>
      </w:r>
      <w:r>
        <w:rPr>
          <w:rFonts w:eastAsia="方正仿宋_GBK"/>
          <w:sz w:val="32"/>
        </w:rPr>
        <w:t>，提高</w:t>
      </w:r>
      <w:r>
        <w:rPr>
          <w:rFonts w:hint="eastAsia" w:eastAsia="方正仿宋_GBK"/>
          <w:sz w:val="32"/>
        </w:rPr>
        <w:t>两江新区</w:t>
      </w:r>
      <w:r>
        <w:rPr>
          <w:rFonts w:eastAsia="方正仿宋_GBK"/>
          <w:sz w:val="32"/>
        </w:rPr>
        <w:t>重污染天气预测预警和应急管理能力，</w:t>
      </w:r>
      <w:r>
        <w:rPr>
          <w:rFonts w:hint="eastAsia" w:eastAsia="方正仿宋_GBK"/>
          <w:sz w:val="32"/>
        </w:rPr>
        <w:t>及时有效应对重污染天气，</w:t>
      </w:r>
      <w:r>
        <w:rPr>
          <w:rFonts w:eastAsia="方正仿宋_GBK"/>
          <w:sz w:val="32"/>
        </w:rPr>
        <w:t>降低重污染天气危害程度，保障环境安全和公众身体健康。</w:t>
      </w:r>
    </w:p>
    <w:p>
      <w:pPr>
        <w:keepNext/>
        <w:keepLines/>
        <w:snapToGrid w:val="0"/>
        <w:spacing w:line="560" w:lineRule="exact"/>
        <w:ind w:firstLine="632" w:firstLineChars="200"/>
        <w:outlineLvl w:val="1"/>
        <w:rPr>
          <w:rFonts w:eastAsia="方正楷体_GBK"/>
          <w:b/>
          <w:bCs/>
          <w:sz w:val="32"/>
          <w:szCs w:val="32"/>
          <w:lang w:val="en-GB"/>
        </w:rPr>
      </w:pPr>
      <w:bookmarkStart w:id="9" w:name="_Toc23745"/>
      <w:bookmarkStart w:id="10" w:name="_Toc26001"/>
      <w:r>
        <w:rPr>
          <w:rFonts w:eastAsia="方正楷体_GBK"/>
          <w:b/>
          <w:bCs/>
          <w:sz w:val="32"/>
          <w:szCs w:val="32"/>
          <w:lang w:val="en-GB"/>
        </w:rPr>
        <w:t>1.2</w:t>
      </w:r>
      <w:r>
        <w:rPr>
          <w:rFonts w:eastAsia="方正楷体_GBK"/>
          <w:b/>
          <w:bCs/>
          <w:sz w:val="32"/>
          <w:szCs w:val="32"/>
        </w:rPr>
        <w:t xml:space="preserve"> </w:t>
      </w:r>
      <w:r>
        <w:rPr>
          <w:rFonts w:eastAsia="方正楷体_GBK"/>
          <w:b/>
          <w:bCs/>
          <w:sz w:val="32"/>
          <w:szCs w:val="32"/>
          <w:lang w:val="en-GB"/>
        </w:rPr>
        <w:t>编制依据</w:t>
      </w:r>
      <w:bookmarkEnd w:id="9"/>
      <w:bookmarkEnd w:id="10"/>
    </w:p>
    <w:p>
      <w:pPr>
        <w:snapToGrid w:val="0"/>
        <w:spacing w:line="560" w:lineRule="exact"/>
        <w:ind w:firstLine="632" w:firstLineChars="200"/>
        <w:rPr>
          <w:rFonts w:eastAsia="方正仿宋_GBK"/>
          <w:sz w:val="32"/>
        </w:rPr>
      </w:pPr>
      <w:r>
        <w:rPr>
          <w:rFonts w:eastAsia="方正仿宋_GBK"/>
          <w:color w:val="000000"/>
          <w:sz w:val="32"/>
          <w:szCs w:val="32"/>
        </w:rPr>
        <w:t>依据《中华人民共和国大气污染防治法》《中共中央国务院关于深入打好污染防治攻坚战的意见》《成渝地区双城经济圈建设规划纲要》《成渝地区双城经济圈生态环境保护规划》《生态</w:t>
      </w:r>
      <w:r>
        <w:rPr>
          <w:rFonts w:eastAsia="方正仿宋_GBK"/>
          <w:sz w:val="32"/>
        </w:rPr>
        <w:t>环境部办公厅关于印送〈关于推进重污染天气应急预案修订工作的指导意见〉的函》《生态环境部办公厅关于印发〈重污染天气重点行业应急减排措施制定技术指南（2020年修订版）〉的函》《重庆市大气污染防治条例》《重庆市突发事件总体应急预案》《重庆市重污染天气应急预案》（202</w:t>
      </w:r>
      <w:r>
        <w:rPr>
          <w:rFonts w:hint="eastAsia" w:eastAsia="方正仿宋_GBK"/>
          <w:sz w:val="32"/>
        </w:rPr>
        <w:t>2</w:t>
      </w:r>
      <w:r>
        <w:rPr>
          <w:rFonts w:eastAsia="方正仿宋_GBK"/>
          <w:sz w:val="32"/>
        </w:rPr>
        <w:t>年修订版）</w:t>
      </w:r>
      <w:r>
        <w:rPr>
          <w:rFonts w:hint="eastAsia" w:eastAsia="方正仿宋_GBK"/>
          <w:sz w:val="32"/>
        </w:rPr>
        <w:t>《两江新区突发事件总体应急预案》</w:t>
      </w:r>
      <w:r>
        <w:rPr>
          <w:rFonts w:eastAsia="方正仿宋_GBK"/>
          <w:sz w:val="32"/>
        </w:rPr>
        <w:t>等法律法规及有关规定，结合我区重污染天气应急工作开展情况，对《</w:t>
      </w:r>
      <w:r>
        <w:rPr>
          <w:rFonts w:hint="eastAsia" w:eastAsia="方正仿宋_GBK"/>
          <w:sz w:val="32"/>
        </w:rPr>
        <w:t>两江新区</w:t>
      </w:r>
      <w:r>
        <w:rPr>
          <w:rFonts w:eastAsia="方正仿宋_GBK"/>
          <w:sz w:val="32"/>
        </w:rPr>
        <w:t>空气重污染天气应急预案》进行修订，形成《</w:t>
      </w:r>
      <w:r>
        <w:rPr>
          <w:rFonts w:hint="eastAsia" w:eastAsia="方正仿宋_GBK"/>
          <w:sz w:val="32"/>
        </w:rPr>
        <w:t>两江新区</w:t>
      </w:r>
      <w:r>
        <w:rPr>
          <w:rFonts w:eastAsia="方正仿宋_GBK"/>
          <w:sz w:val="32"/>
        </w:rPr>
        <w:t>重污染天气应急预案（202</w:t>
      </w:r>
      <w:r>
        <w:rPr>
          <w:rFonts w:hint="eastAsia" w:eastAsia="方正仿宋_GBK"/>
          <w:sz w:val="32"/>
        </w:rPr>
        <w:t>3</w:t>
      </w:r>
      <w:r>
        <w:rPr>
          <w:rFonts w:eastAsia="方正仿宋_GBK"/>
          <w:sz w:val="32"/>
        </w:rPr>
        <w:t>年修订版）》。</w:t>
      </w:r>
    </w:p>
    <w:p>
      <w:pPr>
        <w:keepNext/>
        <w:keepLines/>
        <w:snapToGrid w:val="0"/>
        <w:spacing w:line="560" w:lineRule="exact"/>
        <w:ind w:firstLine="632" w:firstLineChars="200"/>
        <w:outlineLvl w:val="1"/>
        <w:rPr>
          <w:rFonts w:eastAsia="方正楷体_GBK"/>
          <w:b/>
          <w:bCs/>
          <w:sz w:val="32"/>
          <w:szCs w:val="32"/>
          <w:lang w:val="en-GB"/>
        </w:rPr>
      </w:pPr>
      <w:bookmarkStart w:id="11" w:name="_Toc33"/>
      <w:bookmarkStart w:id="12" w:name="_Toc12803"/>
      <w:r>
        <w:rPr>
          <w:rFonts w:eastAsia="方正楷体_GBK"/>
          <w:b/>
          <w:bCs/>
          <w:sz w:val="32"/>
          <w:szCs w:val="32"/>
          <w:lang w:val="en-GB"/>
        </w:rPr>
        <w:t>1.3</w:t>
      </w:r>
      <w:r>
        <w:rPr>
          <w:rFonts w:eastAsia="方正楷体_GBK"/>
          <w:b/>
          <w:bCs/>
          <w:sz w:val="32"/>
          <w:szCs w:val="32"/>
        </w:rPr>
        <w:t xml:space="preserve"> </w:t>
      </w:r>
      <w:r>
        <w:rPr>
          <w:rFonts w:eastAsia="方正楷体_GBK"/>
          <w:b/>
          <w:bCs/>
          <w:sz w:val="32"/>
          <w:szCs w:val="32"/>
          <w:lang w:val="en-GB"/>
        </w:rPr>
        <w:t>适用范围</w:t>
      </w:r>
      <w:bookmarkEnd w:id="11"/>
      <w:bookmarkEnd w:id="12"/>
    </w:p>
    <w:p>
      <w:pPr>
        <w:snapToGrid w:val="0"/>
        <w:spacing w:line="560" w:lineRule="exact"/>
        <w:ind w:firstLine="632" w:firstLineChars="200"/>
        <w:rPr>
          <w:rFonts w:eastAsia="方正仿宋_GBK"/>
          <w:sz w:val="32"/>
        </w:rPr>
      </w:pPr>
      <w:r>
        <w:rPr>
          <w:rFonts w:eastAsia="方正仿宋_GBK"/>
          <w:color w:val="000000"/>
          <w:sz w:val="32"/>
          <w:szCs w:val="32"/>
        </w:rPr>
        <w:t>根据《环境空气质量指数（AQI）技术规定（试行）》（HJ633—2012），本预案所指的重污染天气，是指AQI日均值大于200，或细颗粒物（PM2.5）日浓度大于115微克/立方米，或臭氧日最大8小时（O</w:t>
      </w:r>
      <w:r>
        <w:rPr>
          <w:rFonts w:eastAsia="方正仿宋_GBK"/>
          <w:color w:val="000000"/>
          <w:sz w:val="32"/>
          <w:szCs w:val="32"/>
          <w:vertAlign w:val="subscript"/>
        </w:rPr>
        <w:t>3</w:t>
      </w:r>
      <w:r>
        <w:rPr>
          <w:rFonts w:eastAsia="方正仿宋_GBK"/>
          <w:color w:val="000000"/>
          <w:sz w:val="32"/>
          <w:szCs w:val="32"/>
        </w:rPr>
        <w:t>-8h）浓度大于215微克/立方米的大气污染天气。</w:t>
      </w:r>
    </w:p>
    <w:p>
      <w:pPr>
        <w:snapToGrid w:val="0"/>
        <w:spacing w:line="560" w:lineRule="exact"/>
        <w:ind w:firstLine="632" w:firstLineChars="200"/>
        <w:rPr>
          <w:rFonts w:eastAsia="方正仿宋_GBK"/>
          <w:sz w:val="32"/>
        </w:rPr>
      </w:pPr>
      <w:r>
        <w:rPr>
          <w:rFonts w:eastAsia="方正仿宋_GBK"/>
          <w:sz w:val="32"/>
        </w:rPr>
        <w:t>本预案适用于重庆两江新区</w:t>
      </w:r>
      <w:r>
        <w:rPr>
          <w:rFonts w:hint="eastAsia" w:eastAsia="方正仿宋_GBK"/>
          <w:sz w:val="32"/>
        </w:rPr>
        <w:t>直管区</w:t>
      </w:r>
      <w:r>
        <w:rPr>
          <w:rFonts w:eastAsia="方正仿宋_GBK"/>
          <w:sz w:val="32"/>
        </w:rPr>
        <w:t>范围内</w:t>
      </w:r>
      <w:r>
        <w:rPr>
          <w:rFonts w:eastAsia="方正仿宋_GBK"/>
          <w:sz w:val="32"/>
          <w:szCs w:val="32"/>
        </w:rPr>
        <w:t>发生或即将发生重污染天气的应对处置工作</w:t>
      </w:r>
      <w:r>
        <w:rPr>
          <w:rFonts w:hint="eastAsia" w:eastAsia="方正仿宋_GBK"/>
          <w:sz w:val="32"/>
          <w:szCs w:val="32"/>
        </w:rPr>
        <w:t>。</w:t>
      </w:r>
    </w:p>
    <w:p>
      <w:pPr>
        <w:keepNext/>
        <w:keepLines/>
        <w:snapToGrid w:val="0"/>
        <w:spacing w:line="560" w:lineRule="exact"/>
        <w:ind w:firstLine="632" w:firstLineChars="200"/>
        <w:outlineLvl w:val="1"/>
        <w:rPr>
          <w:rFonts w:eastAsia="方正楷体_GBK"/>
          <w:b/>
          <w:bCs/>
          <w:sz w:val="32"/>
          <w:szCs w:val="32"/>
          <w:lang w:val="en-GB"/>
        </w:rPr>
      </w:pPr>
      <w:bookmarkStart w:id="13" w:name="_Toc17465"/>
      <w:bookmarkStart w:id="14" w:name="_Toc468794780"/>
      <w:r>
        <w:rPr>
          <w:rFonts w:hint="eastAsia" w:eastAsia="方正楷体_GBK"/>
          <w:b/>
          <w:bCs/>
          <w:sz w:val="32"/>
          <w:szCs w:val="32"/>
          <w:lang w:val="en-GB"/>
        </w:rPr>
        <w:t>1.4 预案体系</w:t>
      </w:r>
      <w:bookmarkEnd w:id="13"/>
      <w:bookmarkEnd w:id="14"/>
    </w:p>
    <w:p>
      <w:pPr>
        <w:snapToGrid w:val="0"/>
        <w:spacing w:line="560" w:lineRule="exact"/>
        <w:ind w:firstLine="632" w:firstLineChars="200"/>
        <w:rPr>
          <w:rFonts w:eastAsia="方正仿宋_GBK"/>
          <w:sz w:val="32"/>
        </w:rPr>
      </w:pPr>
      <w:r>
        <w:rPr>
          <w:rFonts w:hint="eastAsia" w:eastAsia="方正仿宋_GBK"/>
          <w:sz w:val="32"/>
        </w:rPr>
        <w:t>本预案上级预案是重庆市重污染天气应急预案,是两江新区突发事件应急预案体系的组成部分，本预案与其相衔接，其下级预案包括各街道、重点企业专项应急预案。</w:t>
      </w:r>
    </w:p>
    <w:p>
      <w:pPr>
        <w:keepNext/>
        <w:keepLines/>
        <w:snapToGrid w:val="0"/>
        <w:spacing w:line="560" w:lineRule="exact"/>
        <w:ind w:firstLine="632" w:firstLineChars="200"/>
        <w:outlineLvl w:val="1"/>
        <w:rPr>
          <w:rFonts w:eastAsia="方正楷体_GBK"/>
          <w:b/>
          <w:bCs/>
          <w:sz w:val="32"/>
          <w:szCs w:val="32"/>
          <w:lang w:val="en-GB"/>
        </w:rPr>
      </w:pPr>
      <w:bookmarkStart w:id="15" w:name="_Toc23069"/>
      <w:bookmarkStart w:id="16" w:name="_Toc1668"/>
      <w:r>
        <w:rPr>
          <w:rFonts w:eastAsia="方正楷体_GBK"/>
          <w:b/>
          <w:bCs/>
          <w:sz w:val="32"/>
          <w:szCs w:val="32"/>
          <w:lang w:val="en-GB"/>
        </w:rPr>
        <w:t>1.</w:t>
      </w:r>
      <w:r>
        <w:rPr>
          <w:rFonts w:hint="eastAsia" w:eastAsia="方正楷体_GBK"/>
          <w:b/>
          <w:bCs/>
          <w:sz w:val="32"/>
          <w:szCs w:val="32"/>
        </w:rPr>
        <w:t>5</w:t>
      </w:r>
      <w:r>
        <w:rPr>
          <w:rFonts w:eastAsia="方正楷体_GBK"/>
          <w:b/>
          <w:bCs/>
          <w:sz w:val="32"/>
          <w:szCs w:val="32"/>
        </w:rPr>
        <w:t xml:space="preserve"> </w:t>
      </w:r>
      <w:r>
        <w:rPr>
          <w:rFonts w:eastAsia="方正楷体_GBK"/>
          <w:b/>
          <w:bCs/>
          <w:sz w:val="32"/>
          <w:szCs w:val="32"/>
          <w:lang w:val="en-GB"/>
        </w:rPr>
        <w:t>工作原则</w:t>
      </w:r>
      <w:bookmarkEnd w:id="15"/>
      <w:bookmarkEnd w:id="16"/>
    </w:p>
    <w:p>
      <w:pPr>
        <w:snapToGrid w:val="0"/>
        <w:spacing w:line="560" w:lineRule="exact"/>
        <w:ind w:firstLine="632" w:firstLineChars="200"/>
        <w:rPr>
          <w:rFonts w:eastAsia="方正仿宋_GBK"/>
          <w:sz w:val="32"/>
        </w:rPr>
      </w:pPr>
      <w:r>
        <w:rPr>
          <w:rFonts w:eastAsia="方正仿宋_GBK"/>
          <w:sz w:val="32"/>
        </w:rPr>
        <w:t>以人为本，预防为主。以保障公众健康为首要目标，提前预警，强化重污染天气应急响应措施，最大程度降低重污染天气对公众健康的影响。</w:t>
      </w:r>
    </w:p>
    <w:p>
      <w:pPr>
        <w:snapToGrid w:val="0"/>
        <w:spacing w:line="560" w:lineRule="exact"/>
        <w:ind w:firstLine="632" w:firstLineChars="200"/>
        <w:rPr>
          <w:rFonts w:eastAsia="方正仿宋_GBK"/>
          <w:sz w:val="32"/>
        </w:rPr>
      </w:pPr>
      <w:r>
        <w:rPr>
          <w:rFonts w:eastAsia="方正仿宋_GBK"/>
          <w:sz w:val="32"/>
        </w:rPr>
        <w:t>统一领导，</w:t>
      </w:r>
      <w:r>
        <w:rPr>
          <w:rFonts w:hint="eastAsia" w:eastAsia="方正仿宋_GBK"/>
          <w:sz w:val="32"/>
        </w:rPr>
        <w:t>协同</w:t>
      </w:r>
      <w:r>
        <w:rPr>
          <w:rFonts w:eastAsia="方正仿宋_GBK"/>
          <w:sz w:val="32"/>
        </w:rPr>
        <w:t>管理。</w:t>
      </w:r>
      <w:r>
        <w:rPr>
          <w:rFonts w:hint="eastAsia" w:eastAsia="方正仿宋_GBK"/>
          <w:sz w:val="32"/>
        </w:rPr>
        <w:t>两江新区</w:t>
      </w:r>
      <w:r>
        <w:rPr>
          <w:rFonts w:eastAsia="方正仿宋_GBK"/>
          <w:sz w:val="32"/>
        </w:rPr>
        <w:t>管委会对区内的重污染天气应急工作实施统一指挥，相关部门各司其职、密切配合。落实各单位重污染天气应对工作主体责任，及时发布预警信息，应对处置重污染天气</w:t>
      </w:r>
      <w:r>
        <w:rPr>
          <w:rFonts w:hint="eastAsia" w:eastAsia="方正仿宋_GBK"/>
          <w:sz w:val="32"/>
        </w:rPr>
        <w:t>，强化与渝北区、江北区、北碚区的协同管理</w:t>
      </w:r>
      <w:r>
        <w:rPr>
          <w:rFonts w:eastAsia="方正仿宋_GBK"/>
          <w:sz w:val="32"/>
        </w:rPr>
        <w:t>。</w:t>
      </w:r>
    </w:p>
    <w:p>
      <w:pPr>
        <w:snapToGrid w:val="0"/>
        <w:spacing w:line="560" w:lineRule="exact"/>
        <w:ind w:firstLine="632" w:firstLineChars="200"/>
        <w:rPr>
          <w:rFonts w:eastAsia="方正仿宋_GBK"/>
          <w:sz w:val="32"/>
        </w:rPr>
      </w:pPr>
      <w:r>
        <w:rPr>
          <w:rFonts w:eastAsia="方正仿宋_GBK"/>
          <w:sz w:val="32"/>
        </w:rPr>
        <w:t>科学预警，分级管控。完善空气质量监测监控体系，加强分析研判，实行定期会商，科学预警。根据不同级别应急响应，实施重点行业绩效分级管理，严格差别化管控措施，推动行业治理水平整体提升，实现污染减排与行业高质量发展双赢。</w:t>
      </w:r>
    </w:p>
    <w:p>
      <w:pPr>
        <w:snapToGrid w:val="0"/>
        <w:spacing w:line="560" w:lineRule="exact"/>
        <w:ind w:firstLine="632" w:firstLineChars="200"/>
        <w:rPr>
          <w:rFonts w:eastAsia="方正仿宋_GBK"/>
          <w:sz w:val="32"/>
        </w:rPr>
      </w:pPr>
      <w:r>
        <w:rPr>
          <w:rFonts w:eastAsia="方正仿宋_GBK"/>
          <w:sz w:val="32"/>
        </w:rPr>
        <w:t>部门联动，社会参与。</w:t>
      </w:r>
      <w:bookmarkStart w:id="17" w:name="_Toc27813"/>
      <w:r>
        <w:rPr>
          <w:rFonts w:eastAsia="方正仿宋_GBK"/>
          <w:sz w:val="32"/>
        </w:rPr>
        <w:t>加强各有关部门协调联动，建立健全信息共享机制，充分发挥各自专业优势，综合采用经济、法律以及必要的行政手段协同做好重污染天气应急工作。完善信息公开制度，提高公众自我防护意识及参与意识。</w:t>
      </w:r>
    </w:p>
    <w:p>
      <w:pPr>
        <w:keepNext/>
        <w:keepLines/>
        <w:snapToGrid w:val="0"/>
        <w:spacing w:line="560" w:lineRule="exact"/>
        <w:ind w:firstLine="632" w:firstLineChars="200"/>
        <w:outlineLvl w:val="0"/>
        <w:rPr>
          <w:rFonts w:eastAsia="方正黑体_GBK"/>
          <w:b/>
          <w:bCs/>
          <w:kern w:val="44"/>
          <w:sz w:val="32"/>
          <w:szCs w:val="44"/>
        </w:rPr>
      </w:pPr>
      <w:bookmarkStart w:id="18" w:name="_Toc30236"/>
      <w:r>
        <w:rPr>
          <w:rFonts w:eastAsia="方正黑体_GBK"/>
          <w:b/>
          <w:bCs/>
          <w:kern w:val="44"/>
          <w:sz w:val="32"/>
          <w:szCs w:val="44"/>
        </w:rPr>
        <w:t>2 组织指挥机构</w:t>
      </w:r>
      <w:bookmarkEnd w:id="17"/>
      <w:bookmarkEnd w:id="18"/>
    </w:p>
    <w:p>
      <w:pPr>
        <w:snapToGrid w:val="0"/>
        <w:spacing w:line="560" w:lineRule="exact"/>
        <w:ind w:firstLine="632" w:firstLineChars="200"/>
        <w:outlineLvl w:val="1"/>
        <w:rPr>
          <w:rFonts w:eastAsia="方正楷体_GBK"/>
          <w:b/>
          <w:bCs/>
          <w:sz w:val="32"/>
          <w:szCs w:val="32"/>
        </w:rPr>
      </w:pPr>
      <w:bookmarkStart w:id="19" w:name="_Toc7518"/>
      <w:r>
        <w:rPr>
          <w:rFonts w:hint="eastAsia" w:eastAsia="方正楷体_GBK"/>
          <w:b/>
          <w:bCs/>
          <w:sz w:val="32"/>
          <w:szCs w:val="32"/>
        </w:rPr>
        <w:t>2.1机构组成</w:t>
      </w:r>
      <w:bookmarkEnd w:id="19"/>
    </w:p>
    <w:p>
      <w:pPr>
        <w:snapToGrid w:val="0"/>
        <w:spacing w:line="560" w:lineRule="exact"/>
        <w:ind w:firstLine="632" w:firstLineChars="200"/>
        <w:rPr>
          <w:rFonts w:ascii="方正仿宋_GBK" w:eastAsia="方正仿宋_GBK"/>
          <w:sz w:val="32"/>
          <w:szCs w:val="32"/>
        </w:rPr>
      </w:pPr>
      <w:bookmarkStart w:id="20" w:name="_Toc30951"/>
      <w:r>
        <w:rPr>
          <w:rFonts w:hint="eastAsia" w:ascii="方正仿宋_GBK" w:eastAsia="方正仿宋_GBK"/>
          <w:sz w:val="32"/>
          <w:szCs w:val="32"/>
        </w:rPr>
        <w:t>在两江新区党工委、管委会统一领导下，成立两江新区重污染天气应急管理工作指挥部（以下简称“重污染天气应急指挥部”），重污染天气应急指挥部负责本区重污染天气应急处置的组织领导工作。重污染天气应急指挥部下设五个工作组，包括综合协调组、工业应急组、城市扬尘应急组、机动车排气应急组和宣传引导组，负责各自职责范围内的重污染天气应急处置工作。</w:t>
      </w:r>
    </w:p>
    <w:p>
      <w:pPr>
        <w:snapToGrid w:val="0"/>
        <w:spacing w:line="560" w:lineRule="exact"/>
        <w:ind w:firstLine="632" w:firstLineChars="200"/>
        <w:rPr>
          <w:rFonts w:ascii="方正仿宋_GBK" w:eastAsia="方正仿宋_GBK"/>
          <w:sz w:val="32"/>
          <w:szCs w:val="32"/>
        </w:rPr>
      </w:pPr>
      <w:r>
        <w:rPr>
          <w:rFonts w:hint="eastAsia" w:ascii="方正仿宋_GBK" w:eastAsia="方正仿宋_GBK"/>
          <w:sz w:val="32"/>
          <w:szCs w:val="32"/>
        </w:rPr>
        <w:t>重污染天气应急指挥部由管委会分管生态环境工作的副主任任指挥长，生态环境分局主要负责人任副指挥长，宣传部、产业促进局、现代服务业局、财政局、建设管理局、城市管理局、教育局、社会发展局、市场监督管理局、公安分局、生态环境分局、土储中心、各街道办事处、相关国有企业等部门和单位的分管负责人为成员，重污染天气应急指挥部办公室设在生态环境分局。</w:t>
      </w:r>
    </w:p>
    <w:p>
      <w:pPr>
        <w:snapToGrid w:val="0"/>
        <w:spacing w:line="560" w:lineRule="exact"/>
        <w:ind w:firstLine="632" w:firstLineChars="200"/>
        <w:outlineLvl w:val="1"/>
        <w:rPr>
          <w:rFonts w:eastAsia="方正楷体_GBK"/>
          <w:b/>
          <w:bCs/>
          <w:sz w:val="32"/>
          <w:szCs w:val="32"/>
        </w:rPr>
      </w:pPr>
      <w:bookmarkStart w:id="21" w:name="_Toc14636"/>
      <w:r>
        <w:rPr>
          <w:rFonts w:hint="eastAsia" w:eastAsia="方正楷体_GBK"/>
          <w:b/>
          <w:bCs/>
          <w:sz w:val="32"/>
          <w:szCs w:val="32"/>
        </w:rPr>
        <w:t>2.2职能职责</w:t>
      </w:r>
      <w:bookmarkEnd w:id="21"/>
    </w:p>
    <w:p>
      <w:pPr>
        <w:snapToGrid w:val="0"/>
        <w:spacing w:line="560" w:lineRule="exact"/>
        <w:ind w:firstLine="632" w:firstLineChars="200"/>
        <w:rPr>
          <w:rFonts w:eastAsia="方正仿宋_GBK"/>
          <w:b/>
          <w:bCs/>
          <w:sz w:val="32"/>
        </w:rPr>
      </w:pPr>
      <w:r>
        <w:rPr>
          <w:rFonts w:eastAsia="方正仿宋_GBK"/>
          <w:b/>
          <w:bCs/>
          <w:sz w:val="32"/>
        </w:rPr>
        <w:t>一、</w:t>
      </w:r>
      <w:r>
        <w:rPr>
          <w:rFonts w:hint="eastAsia" w:eastAsia="方正仿宋_GBK"/>
          <w:b/>
          <w:bCs/>
          <w:sz w:val="32"/>
        </w:rPr>
        <w:t>应急指挥部</w:t>
      </w:r>
      <w:r>
        <w:rPr>
          <w:rFonts w:eastAsia="方正仿宋_GBK"/>
          <w:b/>
          <w:bCs/>
          <w:sz w:val="32"/>
        </w:rPr>
        <w:t>职责</w:t>
      </w:r>
    </w:p>
    <w:p>
      <w:pPr>
        <w:snapToGrid w:val="0"/>
        <w:spacing w:line="560" w:lineRule="exact"/>
        <w:ind w:firstLine="632" w:firstLineChars="200"/>
        <w:rPr>
          <w:rFonts w:eastAsia="方正仿宋_GBK"/>
          <w:sz w:val="32"/>
        </w:rPr>
      </w:pPr>
      <w:r>
        <w:rPr>
          <w:rFonts w:eastAsia="方正仿宋_GBK"/>
          <w:sz w:val="32"/>
        </w:rPr>
        <w:t>负责</w:t>
      </w:r>
      <w:r>
        <w:rPr>
          <w:rFonts w:hint="eastAsia" w:eastAsia="方正仿宋_GBK"/>
          <w:sz w:val="32"/>
        </w:rPr>
        <w:t>新区</w:t>
      </w:r>
      <w:r>
        <w:rPr>
          <w:rFonts w:eastAsia="方正仿宋_GBK"/>
          <w:sz w:val="32"/>
        </w:rPr>
        <w:t>重污染天气应对工作的组织领导和指挥协调；指导、督促各成员单位和</w:t>
      </w:r>
      <w:r>
        <w:rPr>
          <w:rFonts w:hint="eastAsia" w:eastAsia="方正仿宋_GBK"/>
          <w:sz w:val="32"/>
        </w:rPr>
        <w:t>各街道办事处</w:t>
      </w:r>
      <w:r>
        <w:rPr>
          <w:rFonts w:eastAsia="方正仿宋_GBK"/>
          <w:sz w:val="32"/>
        </w:rPr>
        <w:t>、相关国有企业</w:t>
      </w:r>
      <w:r>
        <w:rPr>
          <w:rFonts w:hint="eastAsia" w:eastAsia="方正仿宋_GBK"/>
          <w:sz w:val="32"/>
        </w:rPr>
        <w:t>各单位等</w:t>
      </w:r>
      <w:r>
        <w:rPr>
          <w:rFonts w:eastAsia="方正仿宋_GBK"/>
          <w:sz w:val="32"/>
        </w:rPr>
        <w:t>开展重污染天气应对工作；及时研究处理重污染天气重大事项；向</w:t>
      </w:r>
      <w:r>
        <w:rPr>
          <w:rFonts w:hint="eastAsia" w:eastAsia="方正仿宋_GBK"/>
          <w:sz w:val="32"/>
        </w:rPr>
        <w:t>市政府</w:t>
      </w:r>
      <w:r>
        <w:rPr>
          <w:rFonts w:eastAsia="方正仿宋_GBK"/>
          <w:sz w:val="32"/>
        </w:rPr>
        <w:t>和两江新区管理委员会报告重污染天气应对情况；发布重污染天气重要信息。</w:t>
      </w:r>
    </w:p>
    <w:p>
      <w:pPr>
        <w:snapToGrid w:val="0"/>
        <w:spacing w:line="560" w:lineRule="exact"/>
        <w:ind w:firstLine="632" w:firstLineChars="200"/>
        <w:rPr>
          <w:rFonts w:eastAsia="方正仿宋_GBK"/>
          <w:b/>
          <w:bCs/>
          <w:sz w:val="32"/>
        </w:rPr>
      </w:pPr>
      <w:r>
        <w:rPr>
          <w:rFonts w:eastAsia="方正仿宋_GBK"/>
          <w:b/>
          <w:bCs/>
          <w:sz w:val="32"/>
        </w:rPr>
        <w:t>二、</w:t>
      </w:r>
      <w:r>
        <w:rPr>
          <w:rFonts w:hint="eastAsia" w:eastAsia="方正仿宋_GBK"/>
          <w:b/>
          <w:bCs/>
          <w:sz w:val="32"/>
        </w:rPr>
        <w:t>应急指挥部办公室</w:t>
      </w:r>
      <w:r>
        <w:rPr>
          <w:rFonts w:eastAsia="方正仿宋_GBK"/>
          <w:b/>
          <w:bCs/>
          <w:sz w:val="32"/>
        </w:rPr>
        <w:t>职责</w:t>
      </w:r>
    </w:p>
    <w:p>
      <w:pPr>
        <w:snapToGrid w:val="0"/>
        <w:spacing w:line="560" w:lineRule="exact"/>
        <w:ind w:firstLine="632" w:firstLineChars="200"/>
        <w:rPr>
          <w:rFonts w:eastAsia="方正仿宋_GBK"/>
          <w:sz w:val="32"/>
        </w:rPr>
      </w:pPr>
      <w:r>
        <w:rPr>
          <w:rFonts w:eastAsia="方正仿宋_GBK"/>
          <w:sz w:val="32"/>
        </w:rPr>
        <w:t>组织落实区</w:t>
      </w:r>
      <w:r>
        <w:rPr>
          <w:rFonts w:hint="eastAsia" w:eastAsia="方正仿宋_GBK"/>
          <w:sz w:val="32"/>
        </w:rPr>
        <w:t>应急指挥部</w:t>
      </w:r>
      <w:r>
        <w:rPr>
          <w:rFonts w:eastAsia="方正仿宋_GBK"/>
          <w:sz w:val="32"/>
        </w:rPr>
        <w:t>决定，协调、督促成员单位做好重污染天气应对工作；承担</w:t>
      </w:r>
      <w:r>
        <w:rPr>
          <w:rFonts w:hint="eastAsia" w:eastAsia="方正仿宋_GBK"/>
          <w:sz w:val="32"/>
        </w:rPr>
        <w:t>应急指挥部</w:t>
      </w:r>
      <w:r>
        <w:rPr>
          <w:rFonts w:eastAsia="方正仿宋_GBK"/>
          <w:sz w:val="32"/>
        </w:rPr>
        <w:t>应急值守工作，加强信息收集和分析研究，做好信息上传下达工作；建立完善监测预警体系，做好空气质量和气象数据综合分析，预测大气污染情况，负责发布和解除黄色预警，向</w:t>
      </w:r>
      <w:r>
        <w:rPr>
          <w:rFonts w:hint="eastAsia" w:eastAsia="方正仿宋_GBK"/>
          <w:sz w:val="32"/>
        </w:rPr>
        <w:t>指挥部</w:t>
      </w:r>
      <w:r>
        <w:rPr>
          <w:rFonts w:eastAsia="方正仿宋_GBK"/>
          <w:sz w:val="32"/>
        </w:rPr>
        <w:t>提出发布和解除橙色、红色预警建议；组织重污染天气应急预案宣传、培训和演练；承担</w:t>
      </w:r>
      <w:r>
        <w:rPr>
          <w:rFonts w:hint="eastAsia" w:eastAsia="方正仿宋_GBK"/>
          <w:sz w:val="32"/>
        </w:rPr>
        <w:t>应急指挥部</w:t>
      </w:r>
      <w:r>
        <w:rPr>
          <w:rFonts w:eastAsia="方正仿宋_GBK"/>
          <w:sz w:val="32"/>
        </w:rPr>
        <w:t>其他日常事务和交办的工作。</w:t>
      </w:r>
    </w:p>
    <w:p>
      <w:pPr>
        <w:snapToGrid w:val="0"/>
        <w:spacing w:line="560" w:lineRule="exact"/>
        <w:ind w:firstLine="632" w:firstLineChars="200"/>
        <w:rPr>
          <w:rFonts w:eastAsia="方正仿宋_GBK"/>
          <w:b/>
          <w:bCs/>
          <w:sz w:val="32"/>
        </w:rPr>
      </w:pPr>
      <w:r>
        <w:rPr>
          <w:rFonts w:eastAsia="方正仿宋_GBK"/>
          <w:b/>
          <w:bCs/>
          <w:sz w:val="32"/>
        </w:rPr>
        <w:t>三、</w:t>
      </w:r>
      <w:r>
        <w:rPr>
          <w:rFonts w:hint="eastAsia" w:eastAsia="方正仿宋_GBK"/>
          <w:b/>
          <w:bCs/>
          <w:sz w:val="32"/>
        </w:rPr>
        <w:t>应急指挥部</w:t>
      </w:r>
      <w:r>
        <w:rPr>
          <w:rFonts w:eastAsia="方正仿宋_GBK"/>
          <w:b/>
          <w:bCs/>
          <w:sz w:val="32"/>
        </w:rPr>
        <w:t>各成员单位职责</w:t>
      </w:r>
    </w:p>
    <w:p>
      <w:pPr>
        <w:snapToGrid w:val="0"/>
        <w:spacing w:line="560" w:lineRule="exact"/>
        <w:ind w:firstLine="632" w:firstLineChars="200"/>
        <w:rPr>
          <w:rFonts w:eastAsia="方正仿宋_GBK"/>
          <w:sz w:val="32"/>
        </w:rPr>
      </w:pPr>
      <w:r>
        <w:rPr>
          <w:rFonts w:hint="eastAsia" w:eastAsia="方正仿宋_GBK"/>
          <w:b/>
          <w:bCs/>
          <w:sz w:val="32"/>
        </w:rPr>
        <w:t>宣传部</w:t>
      </w:r>
      <w:r>
        <w:rPr>
          <w:rFonts w:eastAsia="方正仿宋_GBK"/>
          <w:b/>
          <w:bCs/>
          <w:sz w:val="32"/>
        </w:rPr>
        <w:t>：</w:t>
      </w:r>
      <w:r>
        <w:rPr>
          <w:rFonts w:hint="eastAsia" w:eastAsia="方正仿宋_GBK"/>
          <w:sz w:val="32"/>
        </w:rPr>
        <w:t>负责会同生态环境分局等部门组织协调媒体做好重污染天气应急工作的新闻报道、政策解读和公益宣传；组织发布权威信息，及时准确引导舆论。会同生态环境分局等有关部门开展网络舆情监测和网络舆论引导，及时澄清网络谣言。</w:t>
      </w:r>
    </w:p>
    <w:p>
      <w:pPr>
        <w:snapToGrid w:val="0"/>
        <w:spacing w:line="560" w:lineRule="exact"/>
        <w:ind w:firstLine="632" w:firstLineChars="200"/>
        <w:rPr>
          <w:rFonts w:eastAsia="方正仿宋_GBK"/>
          <w:b/>
          <w:bCs/>
          <w:sz w:val="32"/>
        </w:rPr>
      </w:pPr>
      <w:r>
        <w:rPr>
          <w:rFonts w:hint="eastAsia" w:eastAsia="方正仿宋_GBK"/>
          <w:b/>
          <w:bCs/>
          <w:sz w:val="32"/>
        </w:rPr>
        <w:t>产业促进局</w:t>
      </w:r>
      <w:r>
        <w:rPr>
          <w:rFonts w:eastAsia="方正仿宋_GBK"/>
          <w:b/>
          <w:bCs/>
          <w:sz w:val="32"/>
        </w:rPr>
        <w:t>：</w:t>
      </w:r>
      <w:r>
        <w:rPr>
          <w:rFonts w:hint="eastAsia" w:eastAsia="方正仿宋_GBK"/>
          <w:sz w:val="32"/>
        </w:rPr>
        <w:t>负责督促重点工业企业实施限产、停产等减排措施。</w:t>
      </w:r>
      <w:r>
        <w:rPr>
          <w:rFonts w:hint="eastAsia" w:eastAsia="方正仿宋_GBK"/>
          <w:b/>
          <w:bCs/>
          <w:sz w:val="32"/>
        </w:rPr>
        <w:t xml:space="preserve"> </w:t>
      </w:r>
    </w:p>
    <w:p>
      <w:pPr>
        <w:snapToGrid w:val="0"/>
        <w:spacing w:line="560" w:lineRule="exact"/>
        <w:ind w:firstLine="632" w:firstLineChars="200"/>
        <w:rPr>
          <w:rFonts w:eastAsia="方正仿宋_GBK"/>
          <w:sz w:val="32"/>
        </w:rPr>
      </w:pPr>
      <w:r>
        <w:rPr>
          <w:rFonts w:eastAsia="方正仿宋_GBK"/>
          <w:b/>
          <w:bCs/>
          <w:sz w:val="32"/>
        </w:rPr>
        <w:t>现代服务业局：</w:t>
      </w:r>
      <w:r>
        <w:rPr>
          <w:rFonts w:eastAsia="方正仿宋_GBK"/>
          <w:sz w:val="32"/>
        </w:rPr>
        <w:t>负责牵头加油站等产业</w:t>
      </w:r>
      <w:r>
        <w:rPr>
          <w:rFonts w:hint="eastAsia" w:eastAsia="方正仿宋_GBK"/>
          <w:sz w:val="32"/>
        </w:rPr>
        <w:t>的</w:t>
      </w:r>
      <w:r>
        <w:rPr>
          <w:rFonts w:eastAsia="方正仿宋_GBK"/>
          <w:sz w:val="32"/>
        </w:rPr>
        <w:t>应急措施落实情况检查。负责预警期间监督加油站等产业实施限产、停产减排措施。</w:t>
      </w:r>
    </w:p>
    <w:p>
      <w:pPr>
        <w:snapToGrid w:val="0"/>
        <w:spacing w:line="560" w:lineRule="exact"/>
        <w:ind w:firstLine="632" w:firstLineChars="200"/>
        <w:rPr>
          <w:rFonts w:eastAsia="方正仿宋_GBK"/>
          <w:sz w:val="32"/>
        </w:rPr>
      </w:pPr>
      <w:r>
        <w:rPr>
          <w:rFonts w:eastAsia="方正仿宋_GBK"/>
          <w:b/>
          <w:bCs/>
          <w:sz w:val="32"/>
        </w:rPr>
        <w:t>财政局</w:t>
      </w:r>
      <w:r>
        <w:rPr>
          <w:rFonts w:hint="eastAsia" w:eastAsia="方正仿宋_GBK"/>
          <w:b/>
          <w:bCs/>
          <w:sz w:val="32"/>
        </w:rPr>
        <w:t>（国资委）</w:t>
      </w:r>
      <w:r>
        <w:rPr>
          <w:rFonts w:eastAsia="方正仿宋_GBK"/>
          <w:b/>
          <w:bCs/>
          <w:sz w:val="32"/>
        </w:rPr>
        <w:t>：</w:t>
      </w:r>
      <w:r>
        <w:rPr>
          <w:rFonts w:hint="eastAsia" w:ascii="方正仿宋_GBK" w:hAnsi="方正仿宋_GBK" w:eastAsia="方正仿宋_GBK" w:cs="方正仿宋_GBK"/>
          <w:color w:val="000000"/>
          <w:sz w:val="32"/>
          <w:szCs w:val="32"/>
        </w:rPr>
        <w:t>负责管委会事权和支出责任范围内的重污染天气应对工作经费保障</w:t>
      </w:r>
      <w:r>
        <w:rPr>
          <w:rFonts w:eastAsia="方正仿宋_GBK"/>
          <w:sz w:val="32"/>
        </w:rPr>
        <w:t>。</w:t>
      </w:r>
    </w:p>
    <w:p>
      <w:pPr>
        <w:snapToGrid w:val="0"/>
        <w:spacing w:line="560" w:lineRule="exact"/>
        <w:ind w:firstLine="632" w:firstLineChars="200"/>
        <w:rPr>
          <w:rFonts w:eastAsia="方正仿宋_GBK"/>
          <w:sz w:val="32"/>
        </w:rPr>
      </w:pPr>
      <w:r>
        <w:rPr>
          <w:rFonts w:hint="eastAsia" w:eastAsia="方正仿宋_GBK"/>
          <w:b/>
          <w:bCs/>
          <w:sz w:val="32"/>
        </w:rPr>
        <w:t>建设管理局</w:t>
      </w:r>
      <w:r>
        <w:rPr>
          <w:rFonts w:eastAsia="方正仿宋_GBK"/>
          <w:sz w:val="32"/>
        </w:rPr>
        <w:t>：负责督促房屋建筑和市政基础设施建设工程施工单位落实扬尘控制措施或暂停施工作业；督促房屋拆除和土地整治施工单位暂停施工，监督其落实施工现场周边道路清洗、土堆料堆覆盖或增加洒水频次等措施</w:t>
      </w:r>
      <w:r>
        <w:rPr>
          <w:rFonts w:hint="eastAsia" w:eastAsia="方正仿宋_GBK"/>
          <w:sz w:val="32"/>
        </w:rPr>
        <w:t>；配合</w:t>
      </w:r>
      <w:r>
        <w:rPr>
          <w:rFonts w:hint="eastAsia" w:eastAsia="方正仿宋_GBK"/>
          <w:sz w:val="32"/>
          <w:szCs w:val="32"/>
        </w:rPr>
        <w:t>督促</w:t>
      </w:r>
      <w:r>
        <w:rPr>
          <w:rFonts w:eastAsia="方正仿宋_GBK"/>
          <w:sz w:val="32"/>
          <w:szCs w:val="32"/>
        </w:rPr>
        <w:t>建设工程施工单位</w:t>
      </w:r>
      <w:r>
        <w:rPr>
          <w:rFonts w:eastAsia="方正仿宋_GBK"/>
          <w:sz w:val="32"/>
        </w:rPr>
        <w:t>暂停使用挖掘机、装载机、平地机、压路机、摊铺机、叉车等非道路移动机械（电动非道路移动机械除外）。</w:t>
      </w:r>
    </w:p>
    <w:p>
      <w:pPr>
        <w:snapToGrid w:val="0"/>
        <w:spacing w:line="560" w:lineRule="exact"/>
        <w:ind w:firstLine="632" w:firstLineChars="200"/>
        <w:rPr>
          <w:rFonts w:eastAsia="方正仿宋_GBK"/>
          <w:sz w:val="32"/>
        </w:rPr>
      </w:pPr>
      <w:r>
        <w:rPr>
          <w:rFonts w:hint="eastAsia" w:eastAsia="方正仿宋_GBK"/>
          <w:b/>
          <w:bCs/>
          <w:sz w:val="32"/>
        </w:rPr>
        <w:t>城市</w:t>
      </w:r>
      <w:r>
        <w:rPr>
          <w:rFonts w:eastAsia="方正仿宋_GBK"/>
          <w:b/>
          <w:bCs/>
          <w:sz w:val="32"/>
        </w:rPr>
        <w:t>管理局：</w:t>
      </w:r>
      <w:r>
        <w:rPr>
          <w:rFonts w:eastAsia="方正仿宋_GBK"/>
          <w:sz w:val="32"/>
          <w:szCs w:val="32"/>
        </w:rPr>
        <w:t>负责加强本行业扬尘污染防控，</w:t>
      </w:r>
      <w:r>
        <w:rPr>
          <w:rFonts w:eastAsia="方正仿宋_GBK"/>
          <w:sz w:val="32"/>
        </w:rPr>
        <w:t>负责会同区公安分局等部门对飞扬、泄露、撒落等渣土运输车辆污染道路行为进行查处，禁止无密闭措施的车辆在都市经济功能板块各街道内运输建筑渣土、砂石、垃圾等易撒漏物质；督促市政工地停工、强化渣土消纳场控尘措施或暂停作业；督促查处露天烧烤、露天夜火锅违规经营以及在公共场所焚烧垃圾、废品等污染周边环境行为；负责指导各</w:t>
      </w:r>
      <w:r>
        <w:rPr>
          <w:rFonts w:hint="eastAsia" w:eastAsia="方正仿宋_GBK"/>
          <w:sz w:val="32"/>
        </w:rPr>
        <w:t>街道</w:t>
      </w:r>
      <w:r>
        <w:rPr>
          <w:rFonts w:eastAsia="方正仿宋_GBK"/>
          <w:sz w:val="32"/>
        </w:rPr>
        <w:t>加强道路机械化清扫（冲洗）作业，提高作业时间和频次，确保主要道路保持湿润</w:t>
      </w:r>
      <w:r>
        <w:rPr>
          <w:rFonts w:hint="eastAsia" w:eastAsia="方正仿宋_GBK"/>
          <w:sz w:val="32"/>
        </w:rPr>
        <w:t>；</w:t>
      </w:r>
      <w:r>
        <w:rPr>
          <w:rFonts w:eastAsia="方正仿宋_GBK"/>
          <w:sz w:val="32"/>
        </w:rPr>
        <w:t>负责加大秸秆综合利用、加强对露天焚烧秸秆的查处力度</w:t>
      </w:r>
      <w:r>
        <w:rPr>
          <w:rFonts w:hint="eastAsia" w:eastAsia="方正仿宋_GBK"/>
          <w:sz w:val="32"/>
        </w:rPr>
        <w:t>；</w:t>
      </w:r>
      <w:r>
        <w:rPr>
          <w:rFonts w:eastAsia="方正仿宋_GBK"/>
          <w:sz w:val="32"/>
        </w:rPr>
        <w:t>负责督促交通行业施工单位严格落实施工扬尘控制措施或暂停施工作业。</w:t>
      </w:r>
      <w:r>
        <w:rPr>
          <w:rFonts w:eastAsia="方正仿宋_GBK"/>
          <w:sz w:val="32"/>
          <w:szCs w:val="32"/>
        </w:rPr>
        <w:t>指导督促公路、水路建设工程施工单位落实扬尘控制措施或暂停施工作业；加强对预警期间易撒漏物质密闭运输的执法工作；开展重污染天气交通运输保障应急工作，协调公交运力，保障市民公共交通出行。</w:t>
      </w:r>
    </w:p>
    <w:p>
      <w:pPr>
        <w:snapToGrid w:val="0"/>
        <w:spacing w:line="560" w:lineRule="exact"/>
        <w:ind w:firstLine="632" w:firstLineChars="200"/>
        <w:rPr>
          <w:rFonts w:eastAsia="方正仿宋_GBK"/>
          <w:sz w:val="32"/>
        </w:rPr>
      </w:pPr>
      <w:r>
        <w:rPr>
          <w:rFonts w:hint="eastAsia" w:eastAsia="方正仿宋_GBK"/>
          <w:b/>
          <w:bCs/>
          <w:sz w:val="32"/>
        </w:rPr>
        <w:t>社会发展局</w:t>
      </w:r>
      <w:r>
        <w:rPr>
          <w:rFonts w:eastAsia="方正仿宋_GBK"/>
          <w:b/>
          <w:bCs/>
          <w:sz w:val="32"/>
        </w:rPr>
        <w:t>：</w:t>
      </w:r>
      <w:r>
        <w:rPr>
          <w:rFonts w:eastAsia="方正仿宋_GBK"/>
          <w:sz w:val="32"/>
        </w:rPr>
        <w:t>加强重污染天气的医疗保障工作。</w:t>
      </w:r>
    </w:p>
    <w:p>
      <w:pPr>
        <w:snapToGrid w:val="0"/>
        <w:spacing w:line="560" w:lineRule="exact"/>
        <w:ind w:firstLine="632" w:firstLineChars="200"/>
        <w:rPr>
          <w:rFonts w:eastAsia="方正仿宋_GBK"/>
          <w:sz w:val="32"/>
        </w:rPr>
      </w:pPr>
      <w:r>
        <w:rPr>
          <w:rFonts w:hint="eastAsia" w:eastAsia="方正仿宋_GBK"/>
          <w:b/>
          <w:bCs/>
          <w:sz w:val="32"/>
        </w:rPr>
        <w:t>教育局</w:t>
      </w:r>
      <w:r>
        <w:rPr>
          <w:rFonts w:eastAsia="方正仿宋_GBK"/>
          <w:b/>
          <w:bCs/>
          <w:sz w:val="32"/>
        </w:rPr>
        <w:t>：</w:t>
      </w:r>
      <w:r>
        <w:rPr>
          <w:rFonts w:hint="eastAsia" w:eastAsia="方正仿宋_GBK"/>
          <w:sz w:val="32"/>
        </w:rPr>
        <w:t>指导全区学校制定并落实重污染天气应急方案；负责开展重污染天气健康防护知识宣传教育，根据预警等级及区域重污染状况指导学校减少、停止户外活动或实施停课。</w:t>
      </w:r>
    </w:p>
    <w:p>
      <w:pPr>
        <w:snapToGrid w:val="0"/>
        <w:spacing w:line="560" w:lineRule="exact"/>
        <w:ind w:firstLine="632" w:firstLineChars="200"/>
        <w:rPr>
          <w:rFonts w:eastAsia="方正仿宋_GBK"/>
          <w:sz w:val="32"/>
        </w:rPr>
      </w:pPr>
      <w:r>
        <w:rPr>
          <w:rFonts w:eastAsia="方正仿宋_GBK"/>
          <w:b/>
          <w:bCs/>
          <w:sz w:val="32"/>
        </w:rPr>
        <w:t>市场</w:t>
      </w:r>
      <w:r>
        <w:rPr>
          <w:rFonts w:hint="eastAsia" w:eastAsia="方正仿宋_GBK"/>
          <w:b/>
          <w:bCs/>
          <w:sz w:val="32"/>
        </w:rPr>
        <w:t>监督管理</w:t>
      </w:r>
      <w:r>
        <w:rPr>
          <w:rFonts w:eastAsia="方正仿宋_GBK"/>
          <w:b/>
          <w:bCs/>
          <w:sz w:val="32"/>
        </w:rPr>
        <w:t>局：</w:t>
      </w:r>
      <w:r>
        <w:rPr>
          <w:rFonts w:eastAsia="方正仿宋_GBK"/>
          <w:sz w:val="32"/>
        </w:rPr>
        <w:t>负责加强生产领域涉及排放的特种设备、成品燃油、燃气的质量监管；负责生产领域罚没品露天焚烧行为的监管。</w:t>
      </w:r>
    </w:p>
    <w:p>
      <w:pPr>
        <w:snapToGrid w:val="0"/>
        <w:spacing w:line="560" w:lineRule="exact"/>
        <w:ind w:firstLine="632" w:firstLineChars="200"/>
        <w:rPr>
          <w:rFonts w:eastAsia="方正仿宋_GBK"/>
          <w:sz w:val="32"/>
        </w:rPr>
      </w:pPr>
      <w:r>
        <w:rPr>
          <w:rFonts w:eastAsia="方正仿宋_GBK"/>
          <w:b/>
          <w:bCs/>
          <w:sz w:val="32"/>
        </w:rPr>
        <w:t>公安分局：</w:t>
      </w:r>
      <w:r>
        <w:rPr>
          <w:rFonts w:hint="eastAsia" w:eastAsia="方正仿宋_GBK"/>
          <w:sz w:val="32"/>
        </w:rPr>
        <w:t>负责设置高排放机动车限行交通标志，实施高排放机动车应急限行措施，加大路检、抽检频次，查处禁、限行路段行驶的超标排放车辆和排放黑烟车辆；强化交通指挥，保障道路畅通；落实重污染天气机动车限行应急方案等管控措施；协助城市管理部门加强对预警期间易撒漏物质密闭运输的执法工作；加强对禁止燃放区域内燃放烟花爆竹行为的查处</w:t>
      </w:r>
      <w:r>
        <w:rPr>
          <w:rFonts w:eastAsia="方正仿宋_GBK"/>
          <w:sz w:val="32"/>
        </w:rPr>
        <w:t>。</w:t>
      </w:r>
    </w:p>
    <w:p>
      <w:pPr>
        <w:snapToGrid w:val="0"/>
        <w:spacing w:line="560" w:lineRule="exact"/>
        <w:ind w:firstLine="632" w:firstLineChars="200"/>
        <w:rPr>
          <w:rFonts w:eastAsia="方正仿宋_GBK"/>
          <w:sz w:val="32"/>
        </w:rPr>
      </w:pPr>
      <w:r>
        <w:rPr>
          <w:rFonts w:hint="eastAsia" w:eastAsia="方正仿宋_GBK"/>
          <w:b/>
          <w:bCs/>
          <w:sz w:val="32"/>
        </w:rPr>
        <w:t>生态环境分局</w:t>
      </w:r>
      <w:r>
        <w:rPr>
          <w:rFonts w:eastAsia="方正仿宋_GBK"/>
          <w:b/>
          <w:bCs/>
          <w:sz w:val="32"/>
        </w:rPr>
        <w:t>：</w:t>
      </w:r>
      <w:r>
        <w:rPr>
          <w:rFonts w:eastAsia="方正仿宋_GBK"/>
          <w:sz w:val="32"/>
        </w:rPr>
        <w:t>负责履行</w:t>
      </w:r>
      <w:r>
        <w:rPr>
          <w:rFonts w:hint="eastAsia" w:eastAsia="方正仿宋_GBK"/>
          <w:sz w:val="32"/>
        </w:rPr>
        <w:t>应急指挥部</w:t>
      </w:r>
      <w:r>
        <w:rPr>
          <w:rFonts w:eastAsia="方正仿宋_GBK"/>
          <w:sz w:val="32"/>
        </w:rPr>
        <w:t>办公室有关职责；协助区</w:t>
      </w:r>
      <w:r>
        <w:rPr>
          <w:rFonts w:hint="eastAsia" w:eastAsia="方正仿宋_GBK"/>
          <w:sz w:val="32"/>
        </w:rPr>
        <w:t>产业局</w:t>
      </w:r>
      <w:r>
        <w:rPr>
          <w:rFonts w:eastAsia="方正仿宋_GBK"/>
          <w:sz w:val="32"/>
        </w:rPr>
        <w:t>监督重点工业企业实施限产、停产等减排措施，加强工业企业污染防治设施和在线监测设备高效稳定运行的执法检查；开展重污染天气应对及健康防护措施的宣传工作，建立监测预警应急体系，完善污染源清单并定期进行动态更新</w:t>
      </w:r>
      <w:r>
        <w:rPr>
          <w:rFonts w:hint="eastAsia" w:eastAsia="方正仿宋_GBK"/>
          <w:sz w:val="32"/>
        </w:rPr>
        <w:t>；</w:t>
      </w:r>
      <w:r>
        <w:rPr>
          <w:rFonts w:hint="eastAsia" w:eastAsia="方正仿宋_GBK"/>
          <w:sz w:val="32"/>
          <w:szCs w:val="32"/>
        </w:rPr>
        <w:t>督促</w:t>
      </w:r>
      <w:r>
        <w:rPr>
          <w:rFonts w:eastAsia="方正仿宋_GBK"/>
          <w:sz w:val="32"/>
          <w:szCs w:val="32"/>
        </w:rPr>
        <w:t>建设工程施工单位</w:t>
      </w:r>
      <w:r>
        <w:rPr>
          <w:rFonts w:eastAsia="方正仿宋_GBK"/>
          <w:sz w:val="32"/>
        </w:rPr>
        <w:t>暂停使用挖掘机、装载机、平地机、压路机、摊铺机、叉车等非道路移动机械（电动非道路移动机械除外）。</w:t>
      </w:r>
    </w:p>
    <w:p>
      <w:pPr>
        <w:snapToGrid w:val="0"/>
        <w:spacing w:line="560" w:lineRule="exact"/>
        <w:ind w:firstLine="632" w:firstLineChars="200"/>
        <w:rPr>
          <w:rFonts w:eastAsia="方正仿宋_GBK"/>
          <w:sz w:val="32"/>
        </w:rPr>
      </w:pPr>
      <w:r>
        <w:rPr>
          <w:rFonts w:eastAsia="方正仿宋_GBK"/>
          <w:b/>
          <w:bCs/>
          <w:sz w:val="32"/>
        </w:rPr>
        <w:t>土储中心：</w:t>
      </w:r>
      <w:r>
        <w:rPr>
          <w:rFonts w:eastAsia="方正仿宋_GBK"/>
          <w:sz w:val="32"/>
        </w:rPr>
        <w:t>负责督促</w:t>
      </w:r>
      <w:r>
        <w:rPr>
          <w:rFonts w:hint="eastAsia" w:eastAsia="方正仿宋_GBK"/>
          <w:sz w:val="32"/>
        </w:rPr>
        <w:t>国有</w:t>
      </w:r>
      <w:r>
        <w:rPr>
          <w:rFonts w:eastAsia="方正仿宋_GBK"/>
          <w:sz w:val="32"/>
        </w:rPr>
        <w:t>土地整治等项目施工单位暂停施工。</w:t>
      </w:r>
    </w:p>
    <w:p>
      <w:pPr>
        <w:snapToGrid w:val="0"/>
        <w:spacing w:line="560" w:lineRule="exact"/>
        <w:ind w:firstLine="632" w:firstLineChars="200"/>
        <w:rPr>
          <w:rFonts w:eastAsia="方正仿宋_GBK"/>
          <w:sz w:val="32"/>
        </w:rPr>
      </w:pPr>
      <w:r>
        <w:rPr>
          <w:rFonts w:eastAsia="方正仿宋_GBK"/>
          <w:b/>
          <w:bCs/>
          <w:sz w:val="32"/>
        </w:rPr>
        <w:t>各街道办事处</w:t>
      </w:r>
      <w:r>
        <w:rPr>
          <w:rFonts w:hint="eastAsia" w:eastAsia="方正仿宋_GBK"/>
          <w:b/>
          <w:bCs/>
          <w:sz w:val="32"/>
        </w:rPr>
        <w:t>、相关国有企业</w:t>
      </w:r>
      <w:r>
        <w:rPr>
          <w:rFonts w:eastAsia="方正仿宋_GBK"/>
          <w:b/>
          <w:bCs/>
          <w:sz w:val="32"/>
        </w:rPr>
        <w:t>：</w:t>
      </w:r>
      <w:r>
        <w:rPr>
          <w:rFonts w:eastAsia="方正仿宋_GBK"/>
          <w:sz w:val="32"/>
        </w:rPr>
        <w:t>负责结合实际编制和实施相应预案。</w:t>
      </w:r>
      <w:r>
        <w:rPr>
          <w:rFonts w:hint="eastAsia" w:eastAsia="方正仿宋_GBK"/>
          <w:sz w:val="32"/>
        </w:rPr>
        <w:t>各街道办事处开展</w:t>
      </w:r>
      <w:r>
        <w:rPr>
          <w:rFonts w:eastAsia="方正仿宋_GBK"/>
          <w:sz w:val="32"/>
        </w:rPr>
        <w:t>餐饮油烟、汽修喷涂、</w:t>
      </w:r>
      <w:r>
        <w:rPr>
          <w:rFonts w:hint="eastAsia" w:eastAsia="方正仿宋_GBK"/>
          <w:sz w:val="32"/>
        </w:rPr>
        <w:t>露天焚烧</w:t>
      </w:r>
      <w:r>
        <w:rPr>
          <w:rFonts w:eastAsia="方正仿宋_GBK"/>
          <w:sz w:val="32"/>
        </w:rPr>
        <w:t>等生活源的检查。各街道办事处、相关国有企业重点加强对职责范围内污染天气的违规行为的查处力度，配合、承办和落实重污染天气应急管理工作各项措施，及时上报应急管理工作开展情况。</w:t>
      </w:r>
    </w:p>
    <w:p>
      <w:pPr>
        <w:snapToGrid w:val="0"/>
        <w:spacing w:line="560" w:lineRule="exact"/>
        <w:ind w:firstLine="632" w:firstLineChars="200"/>
        <w:outlineLvl w:val="0"/>
        <w:rPr>
          <w:rFonts w:eastAsia="方正黑体_GBK"/>
          <w:b/>
          <w:bCs/>
          <w:kern w:val="44"/>
          <w:sz w:val="32"/>
          <w:szCs w:val="44"/>
        </w:rPr>
      </w:pPr>
      <w:bookmarkStart w:id="22" w:name="_Toc5619"/>
      <w:r>
        <w:rPr>
          <w:rFonts w:eastAsia="方正黑体_GBK"/>
          <w:b/>
          <w:bCs/>
          <w:kern w:val="44"/>
          <w:sz w:val="32"/>
          <w:szCs w:val="44"/>
        </w:rPr>
        <w:t>3 监测与预警</w:t>
      </w:r>
      <w:bookmarkEnd w:id="20"/>
      <w:bookmarkEnd w:id="22"/>
    </w:p>
    <w:p>
      <w:pPr>
        <w:snapToGrid w:val="0"/>
        <w:spacing w:line="560" w:lineRule="exact"/>
        <w:ind w:firstLine="632" w:firstLineChars="200"/>
        <w:outlineLvl w:val="1"/>
        <w:rPr>
          <w:rFonts w:eastAsia="方正楷体_GBK"/>
          <w:b/>
          <w:bCs/>
          <w:sz w:val="32"/>
          <w:szCs w:val="32"/>
          <w:lang w:val="en-GB"/>
        </w:rPr>
      </w:pPr>
      <w:bookmarkStart w:id="23" w:name="_Toc3023"/>
      <w:bookmarkStart w:id="24" w:name="_Toc54"/>
      <w:r>
        <w:rPr>
          <w:rFonts w:eastAsia="方正楷体_GBK"/>
          <w:b/>
          <w:bCs/>
          <w:sz w:val="32"/>
          <w:szCs w:val="32"/>
        </w:rPr>
        <w:t>3</w:t>
      </w:r>
      <w:r>
        <w:rPr>
          <w:rFonts w:eastAsia="方正楷体_GBK"/>
          <w:b/>
          <w:bCs/>
          <w:sz w:val="32"/>
          <w:szCs w:val="32"/>
          <w:lang w:val="en-GB"/>
        </w:rPr>
        <w:t>.1 监测</w:t>
      </w:r>
      <w:bookmarkEnd w:id="23"/>
      <w:bookmarkEnd w:id="24"/>
    </w:p>
    <w:p>
      <w:pPr>
        <w:snapToGrid w:val="0"/>
        <w:spacing w:line="560" w:lineRule="exact"/>
        <w:ind w:firstLine="632" w:firstLineChars="200"/>
        <w:rPr>
          <w:rFonts w:eastAsia="方正仿宋_GBK"/>
          <w:b/>
          <w:bCs/>
          <w:sz w:val="32"/>
          <w:lang w:val="en-GB"/>
        </w:rPr>
      </w:pPr>
      <w:r>
        <w:rPr>
          <w:rFonts w:eastAsia="方正仿宋_GBK"/>
          <w:b/>
          <w:bCs/>
          <w:sz w:val="32"/>
        </w:rPr>
        <w:t>3</w:t>
      </w:r>
      <w:r>
        <w:rPr>
          <w:rFonts w:eastAsia="方正仿宋_GBK"/>
          <w:b/>
          <w:bCs/>
          <w:sz w:val="32"/>
          <w:lang w:val="en-GB"/>
        </w:rPr>
        <w:t>.1.1监测</w:t>
      </w:r>
    </w:p>
    <w:p>
      <w:pPr>
        <w:snapToGrid w:val="0"/>
        <w:spacing w:line="560" w:lineRule="exact"/>
        <w:ind w:firstLine="632" w:firstLineChars="200"/>
        <w:rPr>
          <w:rFonts w:eastAsia="方正仿宋_GBK"/>
          <w:color w:val="000000"/>
          <w:sz w:val="32"/>
          <w:szCs w:val="32"/>
        </w:rPr>
      </w:pPr>
      <w:r>
        <w:rPr>
          <w:rFonts w:hint="eastAsia" w:eastAsia="方正仿宋_GBK"/>
          <w:color w:val="000000"/>
          <w:sz w:val="32"/>
          <w:szCs w:val="32"/>
        </w:rPr>
        <w:t>生态环境分局</w:t>
      </w:r>
      <w:r>
        <w:rPr>
          <w:rFonts w:eastAsia="方正仿宋_GBK"/>
          <w:color w:val="000000"/>
          <w:sz w:val="32"/>
          <w:szCs w:val="32"/>
        </w:rPr>
        <w:t>加强空气质量日常监测；视情况增加高空和移动监测手段，开展高空污染物要素监测以及重点区域移动车载式连续监测；做好数据收集处理、环境空气质量现状评价以及趋势预测工作。</w:t>
      </w:r>
    </w:p>
    <w:p>
      <w:pPr>
        <w:snapToGrid w:val="0"/>
        <w:spacing w:line="560" w:lineRule="exact"/>
        <w:ind w:firstLine="632" w:firstLineChars="200"/>
        <w:rPr>
          <w:rFonts w:eastAsia="方正仿宋_GBK"/>
          <w:b/>
          <w:bCs/>
          <w:sz w:val="32"/>
        </w:rPr>
      </w:pPr>
      <w:r>
        <w:rPr>
          <w:rFonts w:eastAsia="方正仿宋_GBK"/>
          <w:b/>
          <w:bCs/>
          <w:sz w:val="32"/>
        </w:rPr>
        <w:t>3.1.2 会商</w:t>
      </w:r>
    </w:p>
    <w:p>
      <w:pPr>
        <w:snapToGrid w:val="0"/>
        <w:spacing w:line="560" w:lineRule="exact"/>
        <w:ind w:firstLine="632" w:firstLineChars="200"/>
        <w:rPr>
          <w:rFonts w:eastAsia="方正仿宋_GBK"/>
          <w:sz w:val="32"/>
        </w:rPr>
      </w:pPr>
      <w:r>
        <w:rPr>
          <w:rFonts w:hint="eastAsia" w:eastAsia="方正仿宋_GBK"/>
          <w:sz w:val="32"/>
        </w:rPr>
        <w:t>加强与各类专家会商，</w:t>
      </w:r>
      <w:r>
        <w:rPr>
          <w:rFonts w:eastAsia="方正仿宋_GBK"/>
          <w:sz w:val="32"/>
        </w:rPr>
        <w:t>充实科研机构、天气气候、环境监测专业力量，及时开展科学研判、动态会商，不断提高预警的科学性、精准性、时效性。发生区域性重污染天气时，加强与</w:t>
      </w:r>
      <w:r>
        <w:rPr>
          <w:rFonts w:hint="eastAsia" w:eastAsia="方正仿宋_GBK"/>
          <w:sz w:val="32"/>
        </w:rPr>
        <w:t>重庆市生态环境局、渝北区、江北区、北碚区</w:t>
      </w:r>
      <w:r>
        <w:rPr>
          <w:rFonts w:eastAsia="方正仿宋_GBK"/>
          <w:sz w:val="32"/>
        </w:rPr>
        <w:t>的信息共享、会商研判，及时启动区域应急联动。</w:t>
      </w:r>
      <w:bookmarkStart w:id="25" w:name="_Toc22192"/>
      <w:bookmarkStart w:id="26" w:name="_Toc19477"/>
    </w:p>
    <w:p>
      <w:pPr>
        <w:snapToGrid w:val="0"/>
        <w:spacing w:line="560" w:lineRule="exact"/>
        <w:ind w:firstLine="632" w:firstLineChars="200"/>
        <w:rPr>
          <w:rFonts w:eastAsia="方正仿宋_GBK"/>
          <w:sz w:val="32"/>
          <w:lang w:val="en-GB"/>
        </w:rPr>
      </w:pPr>
      <w:r>
        <w:rPr>
          <w:rFonts w:eastAsia="方正仿宋_GBK"/>
          <w:sz w:val="32"/>
        </w:rPr>
        <w:t>3</w:t>
      </w:r>
      <w:r>
        <w:rPr>
          <w:rFonts w:eastAsia="方正仿宋_GBK"/>
          <w:sz w:val="32"/>
          <w:lang w:val="en-GB"/>
        </w:rPr>
        <w:t>.2</w:t>
      </w:r>
      <w:r>
        <w:rPr>
          <w:rFonts w:eastAsia="方正仿宋_GBK"/>
          <w:sz w:val="32"/>
        </w:rPr>
        <w:t xml:space="preserve"> </w:t>
      </w:r>
      <w:r>
        <w:rPr>
          <w:rFonts w:eastAsia="方正仿宋_GBK"/>
          <w:sz w:val="32"/>
          <w:lang w:val="en-GB"/>
        </w:rPr>
        <w:t>预警</w:t>
      </w:r>
      <w:bookmarkEnd w:id="25"/>
      <w:bookmarkEnd w:id="26"/>
    </w:p>
    <w:p>
      <w:pPr>
        <w:snapToGrid w:val="0"/>
        <w:spacing w:line="560" w:lineRule="exact"/>
        <w:ind w:firstLine="632" w:firstLineChars="200"/>
        <w:rPr>
          <w:rFonts w:eastAsia="方正仿宋_GBK"/>
          <w:b/>
          <w:bCs/>
          <w:sz w:val="32"/>
          <w:lang w:val="en-GB"/>
        </w:rPr>
      </w:pPr>
      <w:r>
        <w:rPr>
          <w:rFonts w:eastAsia="方正仿宋_GBK"/>
          <w:b/>
          <w:bCs/>
          <w:sz w:val="32"/>
        </w:rPr>
        <w:t>3</w:t>
      </w:r>
      <w:r>
        <w:rPr>
          <w:rFonts w:eastAsia="方正仿宋_GBK"/>
          <w:b/>
          <w:bCs/>
          <w:sz w:val="32"/>
          <w:lang w:val="en-GB"/>
        </w:rPr>
        <w:t>.2.1预警分级</w:t>
      </w:r>
    </w:p>
    <w:p>
      <w:pPr>
        <w:snapToGrid w:val="0"/>
        <w:spacing w:line="560" w:lineRule="exact"/>
        <w:ind w:firstLine="632" w:firstLineChars="200"/>
        <w:rPr>
          <w:rFonts w:eastAsia="方正仿宋_GBK"/>
          <w:sz w:val="32"/>
        </w:rPr>
      </w:pPr>
      <w:r>
        <w:rPr>
          <w:rFonts w:eastAsia="方正仿宋_GBK"/>
          <w:sz w:val="32"/>
        </w:rPr>
        <w:t>按照重污染天气发展趋势和可能造成影响的严重程度，将预警级别划分为三个等级，由低到高顺序依次为黄色预警、橙色预警、红色预警。</w:t>
      </w:r>
    </w:p>
    <w:p>
      <w:pPr>
        <w:snapToGrid w:val="0"/>
        <w:spacing w:line="560" w:lineRule="exact"/>
        <w:ind w:firstLine="632" w:firstLineChars="200"/>
        <w:rPr>
          <w:color w:val="000000"/>
          <w:sz w:val="32"/>
          <w:szCs w:val="32"/>
        </w:rPr>
      </w:pPr>
      <w:r>
        <w:rPr>
          <w:rFonts w:eastAsia="方正仿宋_GBK"/>
          <w:b/>
          <w:bCs/>
          <w:color w:val="000000"/>
          <w:sz w:val="32"/>
          <w:szCs w:val="32"/>
        </w:rPr>
        <w:t>3.2.1.1 黄色预警：</w:t>
      </w:r>
      <w:r>
        <w:rPr>
          <w:rFonts w:eastAsia="方正仿宋_GBK"/>
          <w:color w:val="000000"/>
          <w:sz w:val="32"/>
          <w:szCs w:val="32"/>
        </w:rPr>
        <w:t>预测AQI日均值＞200，或预测细颗粒物日浓度＞115微克/立方米持续2天（48小时）及以上，或预测臭氧日最大8小时浓度＞215微克/立方米持续2天及以上，且预测有短时重度污染，且未达到高级别预警条件。</w:t>
      </w:r>
    </w:p>
    <w:p>
      <w:pPr>
        <w:snapToGrid w:val="0"/>
        <w:spacing w:line="560" w:lineRule="exact"/>
        <w:ind w:firstLine="632" w:firstLineChars="200"/>
        <w:rPr>
          <w:color w:val="000000"/>
          <w:sz w:val="32"/>
          <w:szCs w:val="32"/>
        </w:rPr>
      </w:pPr>
      <w:r>
        <w:rPr>
          <w:rFonts w:eastAsia="方正仿宋_GBK"/>
          <w:b/>
          <w:bCs/>
          <w:color w:val="000000"/>
          <w:sz w:val="32"/>
          <w:szCs w:val="32"/>
        </w:rPr>
        <w:t>3.2.1.2 橙色预警：</w:t>
      </w:r>
      <w:r>
        <w:rPr>
          <w:rFonts w:eastAsia="方正仿宋_GBK"/>
          <w:color w:val="000000"/>
          <w:sz w:val="32"/>
          <w:szCs w:val="32"/>
        </w:rPr>
        <w:t>预测AQI日均值＞200持续3天（72小时）及以上，或预测细颗粒物日浓度＞115微克/立方米持续3天（72小时）及以上且细颗粒物日浓度＞150微克/立方米持续1天（24小时）及以上，或预测臭氧日最大8小时浓度＞215微克/立方米持续3天及以上且臭氧日最大8小时浓度＞265微克/立方米持续1天及以上，且未达到高级别预警条件。</w:t>
      </w:r>
    </w:p>
    <w:p>
      <w:pPr>
        <w:snapToGrid w:val="0"/>
        <w:spacing w:line="560" w:lineRule="exact"/>
        <w:ind w:firstLine="632" w:firstLineChars="200"/>
        <w:rPr>
          <w:rFonts w:eastAsia="方正仿宋_GBK"/>
          <w:color w:val="000000"/>
          <w:sz w:val="32"/>
          <w:szCs w:val="32"/>
        </w:rPr>
      </w:pPr>
      <w:r>
        <w:rPr>
          <w:rFonts w:eastAsia="方正仿宋_GBK"/>
          <w:b/>
          <w:bCs/>
          <w:color w:val="000000"/>
          <w:sz w:val="32"/>
          <w:szCs w:val="32"/>
        </w:rPr>
        <w:t>3.2.1.3 红色预警：</w:t>
      </w:r>
      <w:r>
        <w:rPr>
          <w:rFonts w:eastAsia="方正仿宋_GBK"/>
          <w:color w:val="000000"/>
          <w:sz w:val="32"/>
          <w:szCs w:val="32"/>
        </w:rPr>
        <w:t>预测AQI日均值＞200持续3天（72小时）及以上，且预测AQI日均值＞300持续1天（24小时）及以上；或预测AQI日均值达到500。</w:t>
      </w:r>
    </w:p>
    <w:p>
      <w:pPr>
        <w:snapToGrid w:val="0"/>
        <w:spacing w:line="560" w:lineRule="exact"/>
        <w:ind w:firstLine="632" w:firstLineChars="200"/>
        <w:rPr>
          <w:rFonts w:eastAsia="方正仿宋_GBK"/>
          <w:b/>
          <w:bCs/>
          <w:color w:val="000000"/>
          <w:sz w:val="32"/>
          <w:szCs w:val="32"/>
        </w:rPr>
      </w:pPr>
      <w:r>
        <w:rPr>
          <w:rFonts w:eastAsia="方正仿宋_GBK"/>
          <w:b/>
          <w:bCs/>
          <w:color w:val="000000"/>
          <w:sz w:val="32"/>
          <w:szCs w:val="32"/>
        </w:rPr>
        <w:t>3.2.2 预警条件</w:t>
      </w:r>
    </w:p>
    <w:p>
      <w:pPr>
        <w:snapToGrid w:val="0"/>
        <w:spacing w:line="560" w:lineRule="exact"/>
        <w:ind w:firstLine="632" w:firstLineChars="200"/>
        <w:rPr>
          <w:rFonts w:eastAsia="方正仿宋_GBK"/>
          <w:color w:val="000000"/>
          <w:sz w:val="32"/>
          <w:szCs w:val="32"/>
        </w:rPr>
      </w:pPr>
      <w:r>
        <w:rPr>
          <w:rFonts w:eastAsia="方正仿宋_GBK"/>
          <w:color w:val="000000"/>
          <w:sz w:val="32"/>
          <w:szCs w:val="32"/>
        </w:rPr>
        <w:t>根据《重庆市重污染天气应急预案》（202</w:t>
      </w:r>
      <w:r>
        <w:rPr>
          <w:rFonts w:hint="eastAsia" w:eastAsia="方正仿宋_GBK"/>
          <w:color w:val="000000"/>
          <w:sz w:val="32"/>
          <w:szCs w:val="32"/>
        </w:rPr>
        <w:t>2</w:t>
      </w:r>
      <w:r>
        <w:rPr>
          <w:rFonts w:eastAsia="方正仿宋_GBK"/>
          <w:color w:val="000000"/>
          <w:sz w:val="32"/>
          <w:szCs w:val="32"/>
        </w:rPr>
        <w:t>年修订版），重污染天气预警分为区域预警和区县预警</w:t>
      </w:r>
      <w:r>
        <w:rPr>
          <w:rFonts w:hint="eastAsia" w:eastAsia="方正仿宋_GBK"/>
          <w:color w:val="000000"/>
          <w:sz w:val="32"/>
          <w:szCs w:val="32"/>
        </w:rPr>
        <w:t>，两江新区</w:t>
      </w:r>
      <w:r>
        <w:rPr>
          <w:rFonts w:eastAsia="方正仿宋_GBK"/>
          <w:color w:val="000000"/>
          <w:sz w:val="32"/>
          <w:szCs w:val="32"/>
        </w:rPr>
        <w:t>属于主城都市区。当区域达到一定级别预警分级标准时，启动相应级别的区域预警。</w:t>
      </w:r>
    </w:p>
    <w:p>
      <w:pPr>
        <w:snapToGrid w:val="0"/>
        <w:spacing w:line="560" w:lineRule="exact"/>
        <w:ind w:firstLine="632" w:firstLineChars="200"/>
        <w:rPr>
          <w:rFonts w:eastAsia="方正仿宋_GBK"/>
          <w:color w:val="000000"/>
          <w:sz w:val="32"/>
          <w:szCs w:val="32"/>
        </w:rPr>
      </w:pPr>
      <w:r>
        <w:rPr>
          <w:rFonts w:eastAsia="方正仿宋_GBK"/>
          <w:color w:val="000000"/>
          <w:sz w:val="32"/>
          <w:szCs w:val="32"/>
        </w:rPr>
        <w:t>接到市指挥部办公室预警提示信息时，</w:t>
      </w:r>
      <w:r>
        <w:rPr>
          <w:rFonts w:hint="eastAsia" w:eastAsia="方正仿宋_GBK"/>
          <w:color w:val="000000"/>
          <w:sz w:val="32"/>
          <w:szCs w:val="32"/>
        </w:rPr>
        <w:t>两江新区</w:t>
      </w:r>
      <w:r>
        <w:rPr>
          <w:rFonts w:eastAsia="方正仿宋_GBK"/>
          <w:color w:val="000000"/>
          <w:sz w:val="32"/>
          <w:szCs w:val="32"/>
        </w:rPr>
        <w:t>应及时启动不低于预警提示信息预警等级的</w:t>
      </w:r>
      <w:r>
        <w:rPr>
          <w:rFonts w:hint="eastAsia" w:eastAsia="方正仿宋_GBK"/>
          <w:color w:val="000000"/>
          <w:sz w:val="32"/>
          <w:szCs w:val="32"/>
        </w:rPr>
        <w:t>区级</w:t>
      </w:r>
      <w:r>
        <w:rPr>
          <w:rFonts w:eastAsia="方正仿宋_GBK"/>
          <w:color w:val="000000"/>
          <w:sz w:val="32"/>
          <w:szCs w:val="32"/>
        </w:rPr>
        <w:t>预警，同时报市指挥部办公室备案。</w:t>
      </w:r>
    </w:p>
    <w:p>
      <w:pPr>
        <w:snapToGrid w:val="0"/>
        <w:spacing w:line="560" w:lineRule="exact"/>
        <w:ind w:firstLine="632" w:firstLineChars="200"/>
        <w:rPr>
          <w:rFonts w:eastAsia="方正仿宋_GBK"/>
          <w:b/>
          <w:bCs/>
          <w:sz w:val="32"/>
          <w:lang w:val="en-GB"/>
        </w:rPr>
      </w:pPr>
      <w:r>
        <w:rPr>
          <w:rFonts w:eastAsia="方正仿宋_GBK"/>
          <w:b/>
          <w:bCs/>
          <w:sz w:val="32"/>
        </w:rPr>
        <w:t>3</w:t>
      </w:r>
      <w:r>
        <w:rPr>
          <w:rFonts w:eastAsia="方正仿宋_GBK"/>
          <w:b/>
          <w:bCs/>
          <w:sz w:val="32"/>
          <w:lang w:val="en-GB"/>
        </w:rPr>
        <w:t>.2.</w:t>
      </w:r>
      <w:r>
        <w:rPr>
          <w:rFonts w:eastAsia="方正仿宋_GBK"/>
          <w:b/>
          <w:bCs/>
          <w:sz w:val="32"/>
        </w:rPr>
        <w:t>3</w:t>
      </w:r>
      <w:r>
        <w:rPr>
          <w:rFonts w:eastAsia="方正仿宋_GBK"/>
          <w:b/>
          <w:bCs/>
          <w:sz w:val="32"/>
          <w:lang w:val="en-GB"/>
        </w:rPr>
        <w:t>预警信息发布</w:t>
      </w:r>
    </w:p>
    <w:p>
      <w:pPr>
        <w:snapToGrid w:val="0"/>
        <w:spacing w:line="560" w:lineRule="exact"/>
        <w:ind w:firstLine="632" w:firstLineChars="200"/>
        <w:rPr>
          <w:rFonts w:eastAsia="方正仿宋_GBK"/>
          <w:sz w:val="32"/>
          <w:lang w:val="en-GB"/>
        </w:rPr>
      </w:pPr>
      <w:r>
        <w:rPr>
          <w:rFonts w:eastAsia="方正仿宋_GBK"/>
          <w:sz w:val="32"/>
          <w:lang w:val="en-GB"/>
        </w:rPr>
        <w:t>重污染天气预警信息应提前24小时以上发布。若遇特殊气象条件未能提前发布，判断满足预警条件的应立即发布预警信息。</w:t>
      </w:r>
    </w:p>
    <w:p>
      <w:pPr>
        <w:snapToGrid w:val="0"/>
        <w:spacing w:line="560" w:lineRule="exact"/>
        <w:ind w:firstLine="632" w:firstLineChars="200"/>
        <w:rPr>
          <w:rFonts w:eastAsia="方正仿宋_GBK"/>
          <w:sz w:val="32"/>
          <w:lang w:val="en-GB"/>
        </w:rPr>
      </w:pPr>
      <w:r>
        <w:rPr>
          <w:rFonts w:eastAsia="方正仿宋_GBK"/>
          <w:sz w:val="32"/>
        </w:rPr>
        <w:t>3.2.3.1</w:t>
      </w:r>
      <w:r>
        <w:rPr>
          <w:rFonts w:eastAsia="方正仿宋_GBK"/>
          <w:sz w:val="32"/>
          <w:lang w:val="en-GB"/>
        </w:rPr>
        <w:t>发布权限。红色、橙色预警信息由</w:t>
      </w:r>
      <w:r>
        <w:rPr>
          <w:rFonts w:hint="eastAsia" w:eastAsia="方正仿宋_GBK"/>
          <w:sz w:val="32"/>
          <w:lang w:val="en-GB"/>
        </w:rPr>
        <w:t>应急指挥部</w:t>
      </w:r>
      <w:r>
        <w:rPr>
          <w:rFonts w:eastAsia="方正仿宋_GBK"/>
          <w:sz w:val="32"/>
          <w:lang w:val="en-GB"/>
        </w:rPr>
        <w:t>办公室提出预警建议，报</w:t>
      </w:r>
      <w:r>
        <w:rPr>
          <w:rFonts w:hint="eastAsia" w:eastAsia="方正仿宋_GBK"/>
          <w:sz w:val="32"/>
        </w:rPr>
        <w:t>区指挥部</w:t>
      </w:r>
      <w:r>
        <w:rPr>
          <w:rFonts w:eastAsia="方正仿宋_GBK"/>
          <w:sz w:val="32"/>
          <w:lang w:val="en-GB"/>
        </w:rPr>
        <w:t>批准后，由</w:t>
      </w:r>
      <w:r>
        <w:rPr>
          <w:rFonts w:hint="eastAsia" w:eastAsia="方正仿宋_GBK"/>
          <w:sz w:val="32"/>
        </w:rPr>
        <w:t>区指挥部</w:t>
      </w:r>
      <w:r>
        <w:rPr>
          <w:rFonts w:eastAsia="方正仿宋_GBK"/>
          <w:sz w:val="32"/>
          <w:lang w:val="en-GB"/>
        </w:rPr>
        <w:t>或</w:t>
      </w:r>
      <w:r>
        <w:rPr>
          <w:rFonts w:hint="eastAsia" w:eastAsia="方正仿宋_GBK"/>
          <w:sz w:val="32"/>
        </w:rPr>
        <w:t>区指挥部</w:t>
      </w:r>
      <w:r>
        <w:rPr>
          <w:rFonts w:eastAsia="方正仿宋_GBK"/>
          <w:sz w:val="32"/>
          <w:lang w:val="en-GB"/>
        </w:rPr>
        <w:t>授权</w:t>
      </w:r>
      <w:r>
        <w:rPr>
          <w:rFonts w:hint="eastAsia" w:eastAsia="方正仿宋_GBK"/>
          <w:sz w:val="32"/>
          <w:lang w:val="en-GB"/>
        </w:rPr>
        <w:t>应急指挥部</w:t>
      </w:r>
      <w:r>
        <w:rPr>
          <w:rFonts w:eastAsia="方正仿宋_GBK"/>
          <w:sz w:val="32"/>
          <w:lang w:val="en-GB"/>
        </w:rPr>
        <w:t>办公室发布；黄色预警信息由</w:t>
      </w:r>
      <w:r>
        <w:rPr>
          <w:rFonts w:hint="eastAsia" w:eastAsia="方正仿宋_GBK"/>
          <w:sz w:val="32"/>
          <w:lang w:val="en-GB"/>
        </w:rPr>
        <w:t>应急指挥部</w:t>
      </w:r>
      <w:r>
        <w:rPr>
          <w:rFonts w:eastAsia="方正仿宋_GBK"/>
          <w:sz w:val="32"/>
          <w:lang w:val="en-GB"/>
        </w:rPr>
        <w:t>办公室发布，同时报两江新区管委会备案。</w:t>
      </w:r>
    </w:p>
    <w:p>
      <w:pPr>
        <w:snapToGrid w:val="0"/>
        <w:spacing w:line="560" w:lineRule="exact"/>
        <w:ind w:firstLine="632" w:firstLineChars="200"/>
        <w:rPr>
          <w:rFonts w:eastAsia="方正仿宋_GBK"/>
          <w:sz w:val="32"/>
          <w:lang w:val="en-GB"/>
        </w:rPr>
      </w:pPr>
      <w:r>
        <w:rPr>
          <w:rFonts w:eastAsia="方正仿宋_GBK"/>
          <w:sz w:val="32"/>
        </w:rPr>
        <w:t>3.2.3.2</w:t>
      </w:r>
      <w:r>
        <w:rPr>
          <w:rFonts w:eastAsia="方正仿宋_GBK"/>
          <w:sz w:val="32"/>
          <w:lang w:val="en-GB"/>
        </w:rPr>
        <w:t>预警内容。预警信息内容应当准确具体，包括发布单位、发布时间和重污染天气出现的时间、范围、污染程度、主要污染物、预警级别、潜在的危险程度、可能受影响的区域及需采取的措施建议等。</w:t>
      </w:r>
    </w:p>
    <w:p>
      <w:pPr>
        <w:snapToGrid w:val="0"/>
        <w:spacing w:line="560" w:lineRule="exact"/>
        <w:ind w:firstLine="632" w:firstLineChars="200"/>
        <w:rPr>
          <w:color w:val="000000"/>
          <w:sz w:val="32"/>
          <w:szCs w:val="32"/>
        </w:rPr>
      </w:pPr>
      <w:r>
        <w:rPr>
          <w:rFonts w:eastAsia="方正仿宋_GBK"/>
          <w:sz w:val="32"/>
        </w:rPr>
        <w:t>3.2.3.3</w:t>
      </w:r>
      <w:r>
        <w:rPr>
          <w:rFonts w:eastAsia="方正仿宋_GBK"/>
          <w:color w:val="000000"/>
          <w:sz w:val="32"/>
          <w:szCs w:val="32"/>
        </w:rPr>
        <w:t>发布途径。通过</w:t>
      </w:r>
      <w:r>
        <w:rPr>
          <w:rFonts w:hint="eastAsia" w:eastAsia="方正仿宋_GBK"/>
          <w:color w:val="000000"/>
          <w:sz w:val="32"/>
          <w:szCs w:val="32"/>
        </w:rPr>
        <w:t>两江新区融媒体中心</w:t>
      </w:r>
      <w:r>
        <w:rPr>
          <w:rFonts w:eastAsia="方正仿宋_GBK"/>
          <w:color w:val="000000"/>
          <w:sz w:val="32"/>
          <w:szCs w:val="32"/>
        </w:rPr>
        <w:t>对外发布，</w:t>
      </w:r>
      <w:r>
        <w:rPr>
          <w:rFonts w:hint="eastAsia" w:eastAsia="方正仿宋_GBK"/>
          <w:color w:val="000000"/>
          <w:sz w:val="32"/>
          <w:szCs w:val="32"/>
        </w:rPr>
        <w:t>或</w:t>
      </w:r>
      <w:r>
        <w:rPr>
          <w:rFonts w:eastAsia="方正仿宋_GBK"/>
          <w:color w:val="000000"/>
          <w:sz w:val="32"/>
          <w:szCs w:val="32"/>
        </w:rPr>
        <w:t>利用报刊、广播、电视、网络、微博和微信公众平台、商圈大屏幕等方式广泛宣传，告知公众空气质量状况和变化趋势，引导公众加强自我防护。</w:t>
      </w:r>
    </w:p>
    <w:p>
      <w:pPr>
        <w:snapToGrid w:val="0"/>
        <w:spacing w:line="560" w:lineRule="exact"/>
        <w:ind w:firstLine="632" w:firstLineChars="200"/>
        <w:rPr>
          <w:color w:val="000000"/>
          <w:sz w:val="32"/>
          <w:szCs w:val="32"/>
        </w:rPr>
      </w:pPr>
      <w:r>
        <w:rPr>
          <w:rFonts w:eastAsia="方正仿宋_GBK"/>
          <w:color w:val="000000"/>
          <w:sz w:val="32"/>
          <w:szCs w:val="32"/>
        </w:rPr>
        <w:t>3.2.3.4 应急值守。达到重污染天气预警启动条件时，监测值班人员要24小时在岗，加强监控，对重污染天气可能发生的时间、范围、污染程度、主要污染物、可能受影响的区域等情况</w:t>
      </w:r>
      <w:r>
        <w:rPr>
          <w:rFonts w:hint="eastAsia" w:eastAsia="方正仿宋_GBK"/>
          <w:color w:val="000000"/>
          <w:sz w:val="32"/>
          <w:szCs w:val="32"/>
        </w:rPr>
        <w:t>及时</w:t>
      </w:r>
      <w:r>
        <w:rPr>
          <w:rFonts w:eastAsia="方正仿宋_GBK"/>
          <w:color w:val="000000"/>
          <w:sz w:val="32"/>
          <w:szCs w:val="32"/>
        </w:rPr>
        <w:t>作出预测预报。</w:t>
      </w:r>
    </w:p>
    <w:p>
      <w:pPr>
        <w:snapToGrid w:val="0"/>
        <w:spacing w:line="560" w:lineRule="exact"/>
        <w:ind w:firstLine="632" w:firstLineChars="200"/>
        <w:rPr>
          <w:color w:val="000000"/>
          <w:sz w:val="32"/>
          <w:szCs w:val="32"/>
        </w:rPr>
      </w:pPr>
      <w:r>
        <w:rPr>
          <w:rFonts w:eastAsia="方正仿宋_GBK"/>
          <w:b/>
          <w:bCs/>
          <w:color w:val="000000"/>
          <w:sz w:val="32"/>
          <w:szCs w:val="32"/>
        </w:rPr>
        <w:t>3.2.4 预警调整和解除</w:t>
      </w:r>
    </w:p>
    <w:p>
      <w:pPr>
        <w:snapToGrid w:val="0"/>
        <w:spacing w:line="560" w:lineRule="exact"/>
        <w:ind w:firstLine="632" w:firstLineChars="200"/>
        <w:rPr>
          <w:color w:val="000000"/>
          <w:sz w:val="32"/>
          <w:szCs w:val="32"/>
        </w:rPr>
      </w:pPr>
      <w:r>
        <w:rPr>
          <w:rFonts w:eastAsia="方正仿宋_GBK"/>
          <w:color w:val="000000"/>
          <w:sz w:val="32"/>
          <w:szCs w:val="32"/>
        </w:rPr>
        <w:t>预警信息发布后，发布单位应当加强信息收集、分析、研判等工作。当预测发生前后两次区域性重污染天气过程，且间隔时间未达到解除预警条件时，应按一次重污染天气过程计算，从高级别启动预警。</w:t>
      </w:r>
    </w:p>
    <w:p>
      <w:pPr>
        <w:snapToGrid w:val="0"/>
        <w:spacing w:line="560" w:lineRule="exact"/>
        <w:ind w:firstLine="632" w:firstLineChars="200"/>
        <w:rPr>
          <w:color w:val="000000"/>
          <w:sz w:val="32"/>
          <w:szCs w:val="32"/>
        </w:rPr>
      </w:pPr>
      <w:r>
        <w:rPr>
          <w:rFonts w:eastAsia="方正仿宋_GBK"/>
          <w:color w:val="000000"/>
          <w:sz w:val="32"/>
          <w:szCs w:val="32"/>
        </w:rPr>
        <w:t>预警有升级可能时，由有权限的发布单位重新发布预警信息，并宣布预警级别调整。</w:t>
      </w:r>
    </w:p>
    <w:p>
      <w:pPr>
        <w:snapToGrid w:val="0"/>
        <w:spacing w:line="560" w:lineRule="exact"/>
        <w:ind w:firstLine="632" w:firstLineChars="200"/>
        <w:rPr>
          <w:color w:val="000000"/>
          <w:sz w:val="32"/>
          <w:szCs w:val="32"/>
        </w:rPr>
      </w:pPr>
      <w:r>
        <w:rPr>
          <w:rFonts w:eastAsia="方正仿宋_GBK"/>
          <w:color w:val="000000"/>
          <w:sz w:val="32"/>
          <w:szCs w:val="32"/>
        </w:rPr>
        <w:t>当空气质量改善到相应级别预警启动标准以下，且预测将持续36小时以上时，可以降低预警级别或解除预警，由原发布单位提前发布信息。</w:t>
      </w:r>
    </w:p>
    <w:p>
      <w:pPr>
        <w:snapToGrid w:val="0"/>
        <w:spacing w:line="560" w:lineRule="exact"/>
        <w:ind w:firstLine="632" w:firstLineChars="200"/>
        <w:rPr>
          <w:rFonts w:eastAsia="方正仿宋_GBK"/>
          <w:b/>
          <w:bCs/>
          <w:color w:val="000000"/>
          <w:sz w:val="32"/>
          <w:szCs w:val="32"/>
        </w:rPr>
      </w:pPr>
      <w:r>
        <w:rPr>
          <w:rFonts w:eastAsia="方正仿宋_GBK"/>
          <w:b/>
          <w:bCs/>
          <w:color w:val="000000"/>
          <w:sz w:val="32"/>
          <w:szCs w:val="32"/>
        </w:rPr>
        <w:t>3.2.5 预警</w:t>
      </w:r>
      <w:r>
        <w:rPr>
          <w:rFonts w:eastAsia="方正仿宋_GBK"/>
          <w:b/>
          <w:bCs/>
          <w:color w:val="000000"/>
          <w:sz w:val="32"/>
          <w:szCs w:val="32"/>
          <w:lang w:val="en-GB"/>
        </w:rPr>
        <w:t>发布</w:t>
      </w:r>
      <w:r>
        <w:rPr>
          <w:rFonts w:eastAsia="方正仿宋_GBK"/>
          <w:b/>
          <w:bCs/>
          <w:color w:val="000000"/>
          <w:sz w:val="32"/>
          <w:szCs w:val="32"/>
        </w:rPr>
        <w:t>流程图</w:t>
      </w:r>
    </w:p>
    <w:p>
      <w:pPr>
        <w:autoSpaceDE w:val="0"/>
        <w:autoSpaceDN w:val="0"/>
        <w:snapToGrid w:val="0"/>
        <w:jc w:val="center"/>
        <w:rPr>
          <w:b/>
          <w:bCs/>
          <w:color w:val="000000"/>
          <w:sz w:val="32"/>
          <w:szCs w:val="32"/>
        </w:rPr>
      </w:pPr>
      <w:r>
        <w:rPr>
          <w:rFonts w:hint="eastAsia"/>
          <w:b/>
          <w:bCs/>
          <w:color w:val="000000"/>
          <w:sz w:val="32"/>
          <w:szCs w:val="32"/>
        </w:rPr>
        <w:drawing>
          <wp:inline distT="0" distB="0" distL="114300" distR="114300">
            <wp:extent cx="5608955" cy="3261995"/>
            <wp:effectExtent l="0" t="0" r="10795" b="14605"/>
            <wp:docPr id="3" name="图片 1" descr="168429292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684292926323"/>
                    <pic:cNvPicPr>
                      <a:picLocks noChangeAspect="1"/>
                    </pic:cNvPicPr>
                  </pic:nvPicPr>
                  <pic:blipFill>
                    <a:blip r:embed="rId8"/>
                    <a:stretch>
                      <a:fillRect/>
                    </a:stretch>
                  </pic:blipFill>
                  <pic:spPr>
                    <a:xfrm>
                      <a:off x="0" y="0"/>
                      <a:ext cx="5608955" cy="3261995"/>
                    </a:xfrm>
                    <a:prstGeom prst="rect">
                      <a:avLst/>
                    </a:prstGeom>
                    <a:noFill/>
                    <a:ln>
                      <a:noFill/>
                    </a:ln>
                  </pic:spPr>
                </pic:pic>
              </a:graphicData>
            </a:graphic>
          </wp:inline>
        </w:drawing>
      </w:r>
    </w:p>
    <w:p>
      <w:pPr>
        <w:keepNext/>
        <w:keepLines/>
        <w:snapToGrid w:val="0"/>
        <w:spacing w:line="560" w:lineRule="exact"/>
        <w:ind w:firstLine="632" w:firstLineChars="200"/>
        <w:outlineLvl w:val="0"/>
        <w:rPr>
          <w:rFonts w:eastAsia="方正黑体_GBK"/>
          <w:b/>
          <w:bCs/>
          <w:kern w:val="44"/>
          <w:sz w:val="32"/>
          <w:szCs w:val="44"/>
        </w:rPr>
      </w:pPr>
      <w:bookmarkStart w:id="27" w:name="_Toc25396"/>
      <w:bookmarkStart w:id="28" w:name="_Toc23285"/>
      <w:r>
        <w:rPr>
          <w:rFonts w:eastAsia="方正黑体_GBK"/>
          <w:b/>
          <w:bCs/>
          <w:kern w:val="44"/>
          <w:sz w:val="32"/>
          <w:szCs w:val="44"/>
        </w:rPr>
        <w:t>4 应急响应</w:t>
      </w:r>
      <w:bookmarkEnd w:id="27"/>
      <w:bookmarkEnd w:id="28"/>
    </w:p>
    <w:p>
      <w:pPr>
        <w:keepNext/>
        <w:keepLines/>
        <w:snapToGrid w:val="0"/>
        <w:spacing w:line="560" w:lineRule="exact"/>
        <w:ind w:firstLine="632" w:firstLineChars="200"/>
        <w:outlineLvl w:val="1"/>
        <w:rPr>
          <w:rFonts w:eastAsia="方正楷体_GBK"/>
          <w:b/>
          <w:bCs/>
          <w:sz w:val="32"/>
          <w:szCs w:val="32"/>
          <w:lang w:val="en-GB"/>
        </w:rPr>
      </w:pPr>
      <w:bookmarkStart w:id="29" w:name="_Toc4191"/>
      <w:bookmarkStart w:id="30" w:name="_Toc7572"/>
      <w:r>
        <w:rPr>
          <w:rFonts w:eastAsia="方正楷体_GBK"/>
          <w:b/>
          <w:bCs/>
          <w:sz w:val="32"/>
          <w:szCs w:val="32"/>
        </w:rPr>
        <w:t>4</w:t>
      </w:r>
      <w:r>
        <w:rPr>
          <w:rFonts w:eastAsia="方正楷体_GBK"/>
          <w:b/>
          <w:bCs/>
          <w:sz w:val="32"/>
          <w:szCs w:val="32"/>
          <w:lang w:val="en-GB"/>
        </w:rPr>
        <w:t>.1 响应分级</w:t>
      </w:r>
      <w:bookmarkEnd w:id="29"/>
      <w:bookmarkEnd w:id="30"/>
    </w:p>
    <w:p>
      <w:pPr>
        <w:snapToGrid w:val="0"/>
        <w:spacing w:line="560" w:lineRule="exact"/>
        <w:ind w:firstLine="632" w:firstLineChars="200"/>
        <w:rPr>
          <w:rFonts w:eastAsia="方正仿宋_GBK"/>
          <w:sz w:val="32"/>
        </w:rPr>
      </w:pPr>
      <w:r>
        <w:rPr>
          <w:rFonts w:eastAsia="方正仿宋_GBK"/>
          <w:sz w:val="32"/>
        </w:rPr>
        <w:t>对应预警等级，实行三级响应。</w:t>
      </w:r>
    </w:p>
    <w:p>
      <w:pPr>
        <w:snapToGrid w:val="0"/>
        <w:spacing w:line="560" w:lineRule="exact"/>
        <w:ind w:firstLine="632" w:firstLineChars="200"/>
        <w:rPr>
          <w:rFonts w:eastAsia="方正仿宋_GBK"/>
          <w:sz w:val="32"/>
        </w:rPr>
      </w:pPr>
      <w:r>
        <w:rPr>
          <w:rFonts w:eastAsia="方正仿宋_GBK"/>
          <w:sz w:val="32"/>
        </w:rPr>
        <w:t>4.1.1 发布黄色预警时，启动Ⅲ级应急响应。</w:t>
      </w:r>
    </w:p>
    <w:p>
      <w:pPr>
        <w:snapToGrid w:val="0"/>
        <w:spacing w:line="560" w:lineRule="exact"/>
        <w:ind w:firstLine="632" w:firstLineChars="200"/>
        <w:rPr>
          <w:rFonts w:eastAsia="方正仿宋_GBK"/>
          <w:sz w:val="32"/>
        </w:rPr>
      </w:pPr>
      <w:r>
        <w:rPr>
          <w:rFonts w:eastAsia="方正仿宋_GBK"/>
          <w:sz w:val="32"/>
        </w:rPr>
        <w:t>4.1.2 发布橙色预警时，启动II级应急响应。</w:t>
      </w:r>
    </w:p>
    <w:p>
      <w:pPr>
        <w:snapToGrid w:val="0"/>
        <w:spacing w:line="560" w:lineRule="exact"/>
        <w:ind w:firstLine="632" w:firstLineChars="200"/>
        <w:rPr>
          <w:rFonts w:eastAsia="方正仿宋_GBK"/>
          <w:sz w:val="32"/>
        </w:rPr>
      </w:pPr>
      <w:r>
        <w:rPr>
          <w:rFonts w:eastAsia="方正仿宋_GBK"/>
          <w:sz w:val="32"/>
        </w:rPr>
        <w:t>4.1.3 发布红色预警时，启动I级应急响应。</w:t>
      </w:r>
    </w:p>
    <w:p>
      <w:pPr>
        <w:keepNext/>
        <w:keepLines/>
        <w:snapToGrid w:val="0"/>
        <w:spacing w:line="560" w:lineRule="exact"/>
        <w:ind w:firstLine="632" w:firstLineChars="200"/>
        <w:outlineLvl w:val="1"/>
        <w:rPr>
          <w:rFonts w:eastAsia="方正楷体_GBK"/>
          <w:b/>
          <w:bCs/>
          <w:sz w:val="32"/>
          <w:szCs w:val="32"/>
          <w:lang w:val="en-GB"/>
        </w:rPr>
      </w:pPr>
      <w:bookmarkStart w:id="31" w:name="_Toc24425"/>
      <w:bookmarkStart w:id="32" w:name="_Toc5797"/>
      <w:r>
        <w:rPr>
          <w:rFonts w:eastAsia="方正楷体_GBK"/>
          <w:b/>
          <w:bCs/>
          <w:sz w:val="32"/>
          <w:szCs w:val="32"/>
        </w:rPr>
        <w:t>4</w:t>
      </w:r>
      <w:r>
        <w:rPr>
          <w:rFonts w:eastAsia="方正楷体_GBK"/>
          <w:b/>
          <w:bCs/>
          <w:sz w:val="32"/>
          <w:szCs w:val="32"/>
          <w:lang w:val="en-GB"/>
        </w:rPr>
        <w:t>.2 响应措施</w:t>
      </w:r>
      <w:bookmarkEnd w:id="31"/>
      <w:bookmarkEnd w:id="32"/>
    </w:p>
    <w:p>
      <w:pPr>
        <w:snapToGrid w:val="0"/>
        <w:spacing w:line="560" w:lineRule="exact"/>
        <w:ind w:firstLine="632" w:firstLineChars="200"/>
        <w:rPr>
          <w:rFonts w:eastAsia="方正仿宋_GBK"/>
          <w:sz w:val="32"/>
          <w:szCs w:val="32"/>
        </w:rPr>
      </w:pPr>
      <w:r>
        <w:rPr>
          <w:rFonts w:eastAsia="方正仿宋_GBK"/>
          <w:sz w:val="32"/>
          <w:szCs w:val="32"/>
        </w:rPr>
        <w:t>应急响应措施主要分为健康防护措施、倡导性减排措施和强制性减排措施。</w:t>
      </w:r>
    </w:p>
    <w:p>
      <w:pPr>
        <w:snapToGrid w:val="0"/>
        <w:spacing w:line="560" w:lineRule="exact"/>
        <w:ind w:firstLine="632" w:firstLineChars="200"/>
        <w:rPr>
          <w:rFonts w:eastAsia="方正仿宋_GBK"/>
          <w:sz w:val="32"/>
          <w:szCs w:val="32"/>
        </w:rPr>
      </w:pPr>
      <w:r>
        <w:rPr>
          <w:rFonts w:eastAsia="方正仿宋_GBK"/>
          <w:sz w:val="32"/>
          <w:szCs w:val="32"/>
        </w:rPr>
        <w:t>Ⅲ级、II级、I级应急响应的健康防护措施、倡导性减排措施信息</w:t>
      </w:r>
      <w:r>
        <w:rPr>
          <w:rFonts w:hint="eastAsia" w:eastAsia="方正仿宋_GBK"/>
          <w:sz w:val="32"/>
          <w:szCs w:val="32"/>
        </w:rPr>
        <w:t>经由市</w:t>
      </w:r>
      <w:r>
        <w:rPr>
          <w:rFonts w:eastAsia="方正仿宋_GBK"/>
          <w:sz w:val="32"/>
          <w:szCs w:val="32"/>
        </w:rPr>
        <w:t>指挥部办公室发布</w:t>
      </w:r>
      <w:r>
        <w:rPr>
          <w:rFonts w:hint="eastAsia" w:eastAsia="方正仿宋_GBK"/>
          <w:sz w:val="32"/>
          <w:szCs w:val="32"/>
        </w:rPr>
        <w:t>后</w:t>
      </w:r>
      <w:r>
        <w:rPr>
          <w:rFonts w:eastAsia="方正仿宋_GBK"/>
          <w:sz w:val="32"/>
          <w:szCs w:val="32"/>
        </w:rPr>
        <w:t>，各街道办事处和有关部门、有关单位组织实施。</w:t>
      </w:r>
    </w:p>
    <w:p>
      <w:pPr>
        <w:snapToGrid w:val="0"/>
        <w:spacing w:line="560" w:lineRule="exact"/>
        <w:ind w:firstLine="632" w:firstLineChars="200"/>
        <w:rPr>
          <w:rFonts w:eastAsia="方正仿宋_GBK"/>
          <w:sz w:val="32"/>
          <w:szCs w:val="32"/>
        </w:rPr>
      </w:pPr>
      <w:r>
        <w:rPr>
          <w:rFonts w:eastAsia="方正仿宋_GBK"/>
          <w:sz w:val="32"/>
          <w:szCs w:val="32"/>
        </w:rPr>
        <w:t>Ⅲ级应急响应的强制性减排措施，由</w:t>
      </w:r>
      <w:r>
        <w:rPr>
          <w:rFonts w:hint="eastAsia" w:eastAsia="方正仿宋_GBK"/>
          <w:sz w:val="32"/>
          <w:szCs w:val="32"/>
        </w:rPr>
        <w:t>两江新区</w:t>
      </w:r>
      <w:r>
        <w:rPr>
          <w:rFonts w:eastAsia="方正仿宋_GBK"/>
          <w:sz w:val="32"/>
          <w:szCs w:val="32"/>
        </w:rPr>
        <w:t>管理委员会组织</w:t>
      </w:r>
      <w:r>
        <w:rPr>
          <w:rFonts w:hint="eastAsia" w:eastAsia="方正仿宋_GBK"/>
          <w:sz w:val="32"/>
          <w:szCs w:val="32"/>
        </w:rPr>
        <w:t>两江新区</w:t>
      </w:r>
      <w:r>
        <w:rPr>
          <w:rFonts w:eastAsia="方正仿宋_GBK"/>
          <w:sz w:val="32"/>
          <w:szCs w:val="32"/>
        </w:rPr>
        <w:t>有关部门、单位开展应急响应工作。接受市指挥部办公室会同市级有关部门检查、指导和督促。</w:t>
      </w:r>
    </w:p>
    <w:p>
      <w:pPr>
        <w:snapToGrid w:val="0"/>
        <w:spacing w:line="560" w:lineRule="exact"/>
        <w:ind w:firstLine="632" w:firstLineChars="200"/>
        <w:rPr>
          <w:rFonts w:eastAsia="方正仿宋_GBK"/>
          <w:b/>
          <w:bCs/>
          <w:sz w:val="32"/>
        </w:rPr>
      </w:pPr>
      <w:r>
        <w:rPr>
          <w:rFonts w:eastAsia="方正仿宋_GBK"/>
          <w:sz w:val="32"/>
          <w:szCs w:val="32"/>
        </w:rPr>
        <w:t>II级、I级应急响应的强制性减排措施，</w:t>
      </w:r>
      <w:r>
        <w:rPr>
          <w:rFonts w:hint="eastAsia" w:eastAsia="方正仿宋_GBK"/>
          <w:sz w:val="32"/>
          <w:szCs w:val="32"/>
        </w:rPr>
        <w:t>由</w:t>
      </w:r>
      <w:r>
        <w:rPr>
          <w:rFonts w:eastAsia="方正仿宋_GBK"/>
          <w:sz w:val="32"/>
          <w:szCs w:val="32"/>
        </w:rPr>
        <w:t>区指挥部综合协调组、工业应急组、城市扬尘应急组、机动车排气应急组、宣传引导组，组织开展应急响应工作。</w:t>
      </w:r>
    </w:p>
    <w:p>
      <w:pPr>
        <w:snapToGrid w:val="0"/>
        <w:spacing w:line="560" w:lineRule="exact"/>
        <w:ind w:firstLine="632" w:firstLineChars="200"/>
        <w:rPr>
          <w:rFonts w:eastAsia="方正仿宋_GBK"/>
          <w:b/>
          <w:bCs/>
          <w:sz w:val="32"/>
        </w:rPr>
      </w:pPr>
      <w:r>
        <w:rPr>
          <w:rFonts w:eastAsia="方正仿宋_GBK"/>
          <w:b/>
          <w:bCs/>
          <w:sz w:val="32"/>
        </w:rPr>
        <w:t>4.2.1 总体</w:t>
      </w:r>
      <w:r>
        <w:rPr>
          <w:rFonts w:hint="eastAsia" w:eastAsia="方正仿宋_GBK"/>
          <w:b/>
          <w:bCs/>
          <w:sz w:val="32"/>
        </w:rPr>
        <w:t>减排</w:t>
      </w:r>
      <w:r>
        <w:rPr>
          <w:rFonts w:eastAsia="方正仿宋_GBK"/>
          <w:b/>
          <w:bCs/>
          <w:sz w:val="32"/>
        </w:rPr>
        <w:t>要求</w:t>
      </w:r>
    </w:p>
    <w:p>
      <w:pPr>
        <w:snapToGrid w:val="0"/>
        <w:spacing w:line="560" w:lineRule="exact"/>
        <w:ind w:firstLine="632" w:firstLineChars="200"/>
        <w:rPr>
          <w:rFonts w:eastAsia="方正仿宋_GBK"/>
          <w:sz w:val="32"/>
        </w:rPr>
      </w:pPr>
      <w:r>
        <w:rPr>
          <w:rFonts w:eastAsia="方正仿宋_GBK"/>
          <w:sz w:val="32"/>
        </w:rPr>
        <w:t>4.2.1.1 首要污染物为臭氧的应急响应期间，氮氧化物和挥发性有机物在Ⅲ级、II级、I级应急响应下，减排比例分别达到全社会总排放量的10%、20%和30%以上。</w:t>
      </w:r>
    </w:p>
    <w:p>
      <w:pPr>
        <w:snapToGrid w:val="0"/>
        <w:spacing w:line="560" w:lineRule="exact"/>
        <w:ind w:firstLine="632" w:firstLineChars="200"/>
        <w:rPr>
          <w:rFonts w:eastAsia="方正仿宋_GBK"/>
          <w:sz w:val="32"/>
        </w:rPr>
      </w:pPr>
      <w:r>
        <w:rPr>
          <w:rFonts w:eastAsia="方正仿宋_GBK"/>
          <w:sz w:val="32"/>
        </w:rPr>
        <w:t>首要污染物为细颗粒物的应急响应期间，二氧化硫、氮氧化物、细颗粒物和挥发性有机物在Ⅲ级、II级、I级应急响应下，减排比例分别达到全社会总排放量的10%、20%和30%以上。</w:t>
      </w:r>
    </w:p>
    <w:p>
      <w:pPr>
        <w:snapToGrid w:val="0"/>
        <w:spacing w:line="560" w:lineRule="exact"/>
        <w:ind w:firstLine="632" w:firstLineChars="200"/>
        <w:rPr>
          <w:rFonts w:eastAsia="方正仿宋_GBK"/>
          <w:sz w:val="32"/>
        </w:rPr>
      </w:pPr>
      <w:r>
        <w:rPr>
          <w:rFonts w:eastAsia="方正仿宋_GBK"/>
          <w:sz w:val="32"/>
        </w:rPr>
        <w:t xml:space="preserve">4.2.1.2 </w:t>
      </w:r>
      <w:r>
        <w:rPr>
          <w:rFonts w:hint="eastAsia" w:eastAsia="方正仿宋_GBK"/>
          <w:sz w:val="32"/>
        </w:rPr>
        <w:t>各行业主管部门摸清分管行业污染源信息，配合生态环境分局</w:t>
      </w:r>
      <w:r>
        <w:rPr>
          <w:rFonts w:eastAsia="方正仿宋_GBK"/>
          <w:sz w:val="32"/>
        </w:rPr>
        <w:t>编制重污染天气应急减排清单，每年动态更新重污染天气应急减排清单。</w:t>
      </w:r>
    </w:p>
    <w:p>
      <w:pPr>
        <w:snapToGrid w:val="0"/>
        <w:spacing w:line="560" w:lineRule="exact"/>
        <w:ind w:firstLine="632" w:firstLineChars="200"/>
        <w:rPr>
          <w:rFonts w:eastAsia="方正仿宋_GBK"/>
          <w:sz w:val="32"/>
        </w:rPr>
      </w:pPr>
      <w:r>
        <w:rPr>
          <w:rFonts w:eastAsia="方正仿宋_GBK"/>
          <w:sz w:val="32"/>
        </w:rPr>
        <w:t>对战略性新兴产业和保障民生的企业，应当根据实际情况采取减排措施，尽量避免对正常生产生活造成影响。对承担城市民生保障类企业，应核定最大允许生产负荷，实施“以量定产</w:t>
      </w:r>
      <w:r>
        <w:rPr>
          <w:rStyle w:val="6"/>
          <w:sz w:val="32"/>
        </w:rPr>
        <w:footnoteReference w:id="0"/>
      </w:r>
      <w:r>
        <w:rPr>
          <w:rFonts w:eastAsia="方正仿宋_GBK"/>
          <w:sz w:val="32"/>
        </w:rPr>
        <w:t>”。</w:t>
      </w:r>
    </w:p>
    <w:p>
      <w:pPr>
        <w:snapToGrid w:val="0"/>
        <w:spacing w:line="560" w:lineRule="exact"/>
        <w:ind w:firstLine="632" w:firstLineChars="200"/>
        <w:rPr>
          <w:rFonts w:eastAsia="方正仿宋_GBK"/>
          <w:sz w:val="32"/>
        </w:rPr>
      </w:pPr>
      <w:r>
        <w:rPr>
          <w:rFonts w:eastAsia="方正仿宋_GBK"/>
          <w:sz w:val="32"/>
        </w:rPr>
        <w:t>4.2.1.3 在制定减排措施时，在满足减排比例要求的前提下，按照国家绩效分级标准，根据企业工艺装备水平、污染治理技术、无组织管控措施、监测监控水平、排放限值、运输方式等环保绩效情况，开展评定分级。对未达到总体减排比例要求的企业，应当及时加大应急减排力度。</w:t>
      </w:r>
    </w:p>
    <w:p>
      <w:pPr>
        <w:snapToGrid w:val="0"/>
        <w:spacing w:line="560" w:lineRule="exact"/>
        <w:ind w:firstLine="632" w:firstLineChars="200"/>
        <w:rPr>
          <w:rFonts w:eastAsia="方正仿宋_GBK"/>
          <w:b/>
          <w:bCs/>
          <w:sz w:val="32"/>
        </w:rPr>
      </w:pPr>
      <w:r>
        <w:rPr>
          <w:rFonts w:eastAsia="方正仿宋_GBK"/>
          <w:b/>
          <w:bCs/>
          <w:sz w:val="32"/>
        </w:rPr>
        <w:t>4.2.2 Ⅲ级响应措施</w:t>
      </w:r>
    </w:p>
    <w:p>
      <w:pPr>
        <w:snapToGrid w:val="0"/>
        <w:spacing w:line="560" w:lineRule="exact"/>
        <w:ind w:firstLine="632" w:firstLineChars="200"/>
        <w:rPr>
          <w:rFonts w:eastAsia="方正仿宋_GBK"/>
          <w:sz w:val="32"/>
        </w:rPr>
      </w:pPr>
      <w:r>
        <w:rPr>
          <w:rFonts w:eastAsia="方正仿宋_GBK"/>
          <w:sz w:val="32"/>
        </w:rPr>
        <w:t>4.2.2.1 健康防护措施</w:t>
      </w:r>
    </w:p>
    <w:p>
      <w:pPr>
        <w:snapToGrid w:val="0"/>
        <w:spacing w:line="560" w:lineRule="exact"/>
        <w:ind w:firstLine="632" w:firstLineChars="200"/>
        <w:rPr>
          <w:rFonts w:eastAsia="方正仿宋_GBK"/>
          <w:sz w:val="32"/>
        </w:rPr>
      </w:pPr>
      <w:r>
        <w:rPr>
          <w:rFonts w:hint="eastAsia" w:eastAsia="方正仿宋_GBK"/>
          <w:sz w:val="32"/>
        </w:rPr>
        <w:t>宣传部</w:t>
      </w:r>
      <w:r>
        <w:rPr>
          <w:rFonts w:eastAsia="方正仿宋_GBK"/>
          <w:sz w:val="32"/>
        </w:rPr>
        <w:t>及时发布健康防护警示，提醒儿童、老年人和相关疾病患者采取防护措施。</w:t>
      </w:r>
      <w:r>
        <w:rPr>
          <w:rFonts w:hint="eastAsia" w:eastAsia="方正仿宋_GBK"/>
          <w:sz w:val="32"/>
        </w:rPr>
        <w:t>教育局发布公告建议或要求</w:t>
      </w:r>
      <w:r>
        <w:rPr>
          <w:rFonts w:eastAsia="方正仿宋_GBK"/>
          <w:sz w:val="32"/>
        </w:rPr>
        <w:t>全</w:t>
      </w:r>
      <w:r>
        <w:rPr>
          <w:rFonts w:hint="eastAsia" w:eastAsia="方正仿宋_GBK"/>
          <w:sz w:val="32"/>
        </w:rPr>
        <w:t>区</w:t>
      </w:r>
      <w:r>
        <w:rPr>
          <w:rFonts w:eastAsia="方正仿宋_GBK"/>
          <w:sz w:val="32"/>
        </w:rPr>
        <w:t>各级各类学校减少学生户外活动时间。</w:t>
      </w:r>
      <w:r>
        <w:rPr>
          <w:rFonts w:hint="eastAsia" w:eastAsia="方正仿宋_GBK"/>
          <w:sz w:val="32"/>
        </w:rPr>
        <w:t>社会发展局应建议</w:t>
      </w:r>
      <w:r>
        <w:rPr>
          <w:rFonts w:eastAsia="方正仿宋_GBK"/>
          <w:sz w:val="32"/>
        </w:rPr>
        <w:t>医疗机构适当增设相关疾病门诊、急诊，加强对呼吸类疾病易感人群的就医指导和诊疗保障。</w:t>
      </w:r>
    </w:p>
    <w:p>
      <w:pPr>
        <w:snapToGrid w:val="0"/>
        <w:spacing w:line="560" w:lineRule="exact"/>
        <w:ind w:firstLine="632" w:firstLineChars="200"/>
        <w:rPr>
          <w:rFonts w:eastAsia="方正仿宋_GBK"/>
          <w:sz w:val="32"/>
        </w:rPr>
      </w:pPr>
      <w:r>
        <w:rPr>
          <w:rFonts w:eastAsia="方正仿宋_GBK"/>
          <w:sz w:val="32"/>
        </w:rPr>
        <w:t>4.2.2.2 倡导性减排措施</w:t>
      </w:r>
    </w:p>
    <w:p>
      <w:pPr>
        <w:snapToGrid w:val="0"/>
        <w:spacing w:line="560" w:lineRule="exact"/>
        <w:ind w:firstLine="632" w:firstLineChars="200"/>
        <w:rPr>
          <w:rFonts w:eastAsia="方正仿宋_GBK"/>
          <w:sz w:val="32"/>
        </w:rPr>
      </w:pPr>
      <w:r>
        <w:rPr>
          <w:rFonts w:hint="eastAsia" w:eastAsia="方正仿宋_GBK"/>
          <w:sz w:val="32"/>
        </w:rPr>
        <w:t>生态环境分局会同宣传部通过公众媒体提出倡导性减排措施，</w:t>
      </w:r>
      <w:r>
        <w:rPr>
          <w:rFonts w:eastAsia="方正仿宋_GBK"/>
          <w:sz w:val="32"/>
        </w:rPr>
        <w:t>倡导公众绿色消费，单位和公众尽量减少含挥发性有机物的涂料、油漆、溶剂等原材料及产品使用；倡导公众绿色出行，鼓励乘坐公交或电动汽车等方式出行；驻车及时熄火，减少车辆原地怠速运行时间；倡导公众绿色生活，节能减排，夏季适当调高、冬季适当调低空调温度。</w:t>
      </w:r>
    </w:p>
    <w:p>
      <w:pPr>
        <w:snapToGrid w:val="0"/>
        <w:spacing w:line="560" w:lineRule="exact"/>
        <w:ind w:firstLine="632" w:firstLineChars="200"/>
        <w:rPr>
          <w:rFonts w:eastAsia="方正仿宋_GBK"/>
          <w:sz w:val="32"/>
        </w:rPr>
      </w:pPr>
      <w:r>
        <w:rPr>
          <w:rFonts w:eastAsia="方正仿宋_GBK"/>
          <w:sz w:val="32"/>
        </w:rPr>
        <w:t>4.2.2.3 强制性减排措施</w:t>
      </w:r>
    </w:p>
    <w:p>
      <w:pPr>
        <w:snapToGrid w:val="0"/>
        <w:spacing w:line="560" w:lineRule="exact"/>
        <w:ind w:firstLine="632" w:firstLineChars="200"/>
        <w:rPr>
          <w:rFonts w:eastAsia="方正仿宋_GBK"/>
          <w:sz w:val="32"/>
        </w:rPr>
      </w:pPr>
      <w:r>
        <w:rPr>
          <w:rFonts w:eastAsia="方正仿宋_GBK"/>
          <w:sz w:val="32"/>
        </w:rPr>
        <w:t>（一）首要污染物为臭氧的应急响应期间，在保障城市正常运行的条件下，采取工业源、移动源等减排措施（II级、I级下同）。</w:t>
      </w:r>
    </w:p>
    <w:p>
      <w:pPr>
        <w:snapToGrid w:val="0"/>
        <w:spacing w:line="560" w:lineRule="exact"/>
        <w:ind w:firstLine="632" w:firstLineChars="200"/>
        <w:rPr>
          <w:rFonts w:eastAsia="方正仿宋_GBK"/>
          <w:sz w:val="32"/>
        </w:rPr>
      </w:pPr>
      <w:r>
        <w:rPr>
          <w:rFonts w:eastAsia="方正仿宋_GBK"/>
          <w:sz w:val="32"/>
        </w:rPr>
        <w:t>工业源减排措施。</w:t>
      </w:r>
      <w:r>
        <w:rPr>
          <w:rFonts w:hint="eastAsia" w:eastAsia="方正仿宋_GBK"/>
          <w:sz w:val="32"/>
        </w:rPr>
        <w:t>生态环境分局会同产业促进局加大对</w:t>
      </w:r>
      <w:r>
        <w:rPr>
          <w:rFonts w:eastAsia="方正仿宋_GBK"/>
          <w:sz w:val="32"/>
        </w:rPr>
        <w:t>重污染天气应急减排清单</w:t>
      </w:r>
      <w:r>
        <w:rPr>
          <w:rFonts w:hint="eastAsia" w:eastAsia="方正仿宋_GBK"/>
          <w:sz w:val="32"/>
        </w:rPr>
        <w:t>企业的执法检查频次，督促工业企业严格落实《</w:t>
      </w:r>
      <w:r>
        <w:rPr>
          <w:rFonts w:eastAsia="方正仿宋_GBK"/>
          <w:sz w:val="32"/>
        </w:rPr>
        <w:t>重污染天气应急响应“</w:t>
      </w:r>
      <w:r>
        <w:rPr>
          <w:rFonts w:hint="eastAsia" w:eastAsia="方正仿宋_GBK"/>
          <w:sz w:val="32"/>
        </w:rPr>
        <w:t>一厂一策</w:t>
      </w:r>
      <w:r>
        <w:rPr>
          <w:rFonts w:hint="eastAsia" w:eastAsia="方正仿宋_GBK"/>
          <w:sz w:val="32"/>
          <w:vertAlign w:val="superscript"/>
        </w:rPr>
        <w:footnoteReference w:id="1"/>
      </w:r>
      <w:r>
        <w:rPr>
          <w:rFonts w:eastAsia="方正仿宋_GBK"/>
          <w:sz w:val="32"/>
        </w:rPr>
        <w:t>”实施方案</w:t>
      </w:r>
      <w:r>
        <w:rPr>
          <w:rFonts w:hint="eastAsia" w:eastAsia="方正仿宋_GBK"/>
          <w:sz w:val="32"/>
        </w:rPr>
        <w:t>》重污染天气</w:t>
      </w:r>
      <w:r>
        <w:rPr>
          <w:rFonts w:eastAsia="方正仿宋_GBK"/>
          <w:sz w:val="32"/>
        </w:rPr>
        <w:t>Ⅲ</w:t>
      </w:r>
      <w:r>
        <w:rPr>
          <w:rFonts w:hint="eastAsia" w:eastAsia="方正仿宋_GBK"/>
          <w:sz w:val="32"/>
        </w:rPr>
        <w:t>级应急响应减排措施，通过</w:t>
      </w:r>
      <w:r>
        <w:rPr>
          <w:rFonts w:eastAsia="方正仿宋_GBK"/>
          <w:sz w:val="32"/>
        </w:rPr>
        <w:t>降低生产负荷、停产、加强污染治理等措施</w:t>
      </w:r>
      <w:r>
        <w:rPr>
          <w:rFonts w:hint="eastAsia" w:eastAsia="方正仿宋_GBK"/>
          <w:sz w:val="32"/>
        </w:rPr>
        <w:t>，减少不低于减排比例要求的大气污染物排放量。</w:t>
      </w:r>
    </w:p>
    <w:p>
      <w:pPr>
        <w:snapToGrid w:val="0"/>
        <w:spacing w:line="560" w:lineRule="exact"/>
        <w:ind w:firstLine="632" w:firstLineChars="200"/>
        <w:rPr>
          <w:rFonts w:eastAsia="方正仿宋_GBK"/>
          <w:sz w:val="32"/>
        </w:rPr>
      </w:pPr>
      <w:r>
        <w:rPr>
          <w:rFonts w:eastAsia="方正仿宋_GBK"/>
          <w:sz w:val="32"/>
        </w:rPr>
        <w:t>移动源减排措施。</w:t>
      </w:r>
      <w:r>
        <w:rPr>
          <w:rFonts w:hint="eastAsia" w:eastAsia="方正仿宋_GBK"/>
          <w:sz w:val="32"/>
        </w:rPr>
        <w:t>公安分局会同生态环境分局</w:t>
      </w:r>
      <w:r>
        <w:rPr>
          <w:rFonts w:eastAsia="方正仿宋_GBK"/>
          <w:sz w:val="32"/>
        </w:rPr>
        <w:t>增加机动车路检、抽检数量和频率，严查冒黑烟车辆及尾气排放超标车辆上路行驶行为。限行区域内全天依法禁行高排放机动车。建设管理局</w:t>
      </w:r>
      <w:r>
        <w:rPr>
          <w:rFonts w:hint="eastAsia" w:eastAsia="方正仿宋_GBK"/>
          <w:sz w:val="32"/>
          <w:szCs w:val="32"/>
        </w:rPr>
        <w:t>督促</w:t>
      </w:r>
      <w:r>
        <w:rPr>
          <w:rFonts w:eastAsia="方正仿宋_GBK"/>
          <w:sz w:val="32"/>
          <w:szCs w:val="32"/>
        </w:rPr>
        <w:t>建设工程施工单位</w:t>
      </w:r>
      <w:r>
        <w:rPr>
          <w:rFonts w:eastAsia="方正仿宋_GBK"/>
          <w:sz w:val="32"/>
        </w:rPr>
        <w:t>暂停使用挖掘机、装载机、平地机、压路机、摊铺机、叉车等非道路移动机械（电动非道路移动机械除外）。</w:t>
      </w:r>
      <w:r>
        <w:rPr>
          <w:rFonts w:hint="eastAsia" w:eastAsia="方正仿宋_GBK"/>
          <w:sz w:val="32"/>
        </w:rPr>
        <w:t>生态环境分局加强加油站检查，确保油气回收装置有效运行。市场监督管理局会同现代服务业局</w:t>
      </w:r>
      <w:r>
        <w:rPr>
          <w:rFonts w:eastAsia="方正仿宋_GBK"/>
          <w:sz w:val="32"/>
        </w:rPr>
        <w:t>增加对生产流通领域加油站车用油品环保指标的检查频次，严厉打击销售不合格油品行为</w:t>
      </w:r>
      <w:r>
        <w:rPr>
          <w:rFonts w:hint="eastAsia" w:eastAsia="方正仿宋_GBK"/>
          <w:sz w:val="32"/>
        </w:rPr>
        <w:t>，加强对</w:t>
      </w:r>
      <w:r>
        <w:rPr>
          <w:rFonts w:eastAsia="方正仿宋_GBK"/>
          <w:sz w:val="32"/>
        </w:rPr>
        <w:t>生产领域罚没品露天焚烧行为的监管。</w:t>
      </w:r>
    </w:p>
    <w:p>
      <w:pPr>
        <w:snapToGrid w:val="0"/>
        <w:spacing w:line="560" w:lineRule="exact"/>
        <w:ind w:firstLine="632" w:firstLineChars="200"/>
        <w:rPr>
          <w:rFonts w:eastAsia="方正仿宋_GBK"/>
          <w:sz w:val="32"/>
        </w:rPr>
      </w:pPr>
      <w:r>
        <w:rPr>
          <w:rFonts w:eastAsia="方正仿宋_GBK"/>
          <w:sz w:val="32"/>
        </w:rPr>
        <w:t>（二）首要污染物为细颗粒物的应急响应期间，在臭氧应急响应措施的基础上增加扬尘源和其他减排措施（II级、I级下同）。</w:t>
      </w:r>
    </w:p>
    <w:p>
      <w:pPr>
        <w:snapToGrid w:val="0"/>
        <w:spacing w:line="560" w:lineRule="exact"/>
        <w:ind w:firstLine="632" w:firstLineChars="200"/>
        <w:rPr>
          <w:rFonts w:eastAsia="方正仿宋_GBK"/>
          <w:sz w:val="32"/>
        </w:rPr>
      </w:pPr>
      <w:r>
        <w:rPr>
          <w:rFonts w:eastAsia="方正仿宋_GBK"/>
          <w:sz w:val="32"/>
        </w:rPr>
        <w:t>扬尘源减排措施。建设管理局依法禁止从事土石方施工作业；依法暂停预拌混凝土搅拌站、易产生扬尘污染的物料码头生产作业，并做好场地洒水降尘工作。在日常管控的基础上，增加对施工扬尘、渣土消纳场扬尘、道路扬尘等的检查频次。施工现场和重点企业煤、焦、渣、沙石等生产经营现场以及城市道路洒水冲洗频次，每日不少于</w:t>
      </w:r>
      <w:r>
        <w:rPr>
          <w:rFonts w:hint="eastAsia" w:eastAsia="方正仿宋_GBK"/>
          <w:sz w:val="32"/>
        </w:rPr>
        <w:t>6</w:t>
      </w:r>
      <w:r>
        <w:rPr>
          <w:rFonts w:eastAsia="方正仿宋_GBK"/>
          <w:sz w:val="32"/>
        </w:rPr>
        <w:t>次。</w:t>
      </w:r>
    </w:p>
    <w:p>
      <w:pPr>
        <w:snapToGrid w:val="0"/>
        <w:spacing w:line="560" w:lineRule="exact"/>
        <w:ind w:firstLine="632" w:firstLineChars="200"/>
        <w:rPr>
          <w:rFonts w:eastAsia="方正仿宋_GBK"/>
          <w:sz w:val="32"/>
        </w:rPr>
      </w:pPr>
      <w:r>
        <w:rPr>
          <w:rFonts w:eastAsia="方正仿宋_GBK"/>
          <w:sz w:val="32"/>
        </w:rPr>
        <w:t>其他减排措施。城市管理局依法禁止违规露天燃烧农业废弃物、城市清扫废物、园林废弃物、建筑废弃物、罚没品等。公安分局根据《重庆市燃放烟花爆竹管理条例》依法限制或禁止烟花爆竹燃放，加大对违规行为的检查与执法力度</w:t>
      </w:r>
      <w:r>
        <w:rPr>
          <w:rFonts w:hint="eastAsia" w:eastAsia="方正仿宋_GBK"/>
          <w:sz w:val="32"/>
        </w:rPr>
        <w:t>。各街道办事处</w:t>
      </w:r>
      <w:r>
        <w:rPr>
          <w:rFonts w:eastAsia="方正仿宋_GBK"/>
          <w:sz w:val="32"/>
        </w:rPr>
        <w:t>加大对餐饮油烟、汽修喷涂、</w:t>
      </w:r>
      <w:r>
        <w:rPr>
          <w:rFonts w:hint="eastAsia" w:eastAsia="方正仿宋_GBK"/>
          <w:sz w:val="32"/>
        </w:rPr>
        <w:t>露天焚烧</w:t>
      </w:r>
      <w:r>
        <w:rPr>
          <w:rFonts w:eastAsia="方正仿宋_GBK"/>
          <w:sz w:val="32"/>
        </w:rPr>
        <w:t>等生活源的检查力度。在光化学反应关键时段（8—18时）应避免开展外立面改造、道路沥青铺设、市政设施维护、交通标志标线刷漆等涉挥发性有机物排放作业。确需施工的应实施精细化管控，使用水性涂料等低挥发性有机物含量的涂料。</w:t>
      </w:r>
    </w:p>
    <w:p>
      <w:pPr>
        <w:snapToGrid w:val="0"/>
        <w:spacing w:line="560" w:lineRule="exact"/>
        <w:ind w:firstLine="632" w:firstLineChars="200"/>
        <w:rPr>
          <w:rFonts w:eastAsia="方正仿宋_GBK"/>
          <w:b/>
          <w:bCs/>
          <w:sz w:val="32"/>
        </w:rPr>
      </w:pPr>
      <w:r>
        <w:rPr>
          <w:rFonts w:eastAsia="方正仿宋_GBK"/>
          <w:b/>
          <w:bCs/>
          <w:sz w:val="32"/>
        </w:rPr>
        <w:t>4.2.3 II级响应措施</w:t>
      </w:r>
    </w:p>
    <w:p>
      <w:pPr>
        <w:snapToGrid w:val="0"/>
        <w:spacing w:line="560" w:lineRule="exact"/>
        <w:ind w:firstLine="632" w:firstLineChars="200"/>
        <w:rPr>
          <w:rFonts w:eastAsia="方正仿宋_GBK"/>
          <w:sz w:val="32"/>
        </w:rPr>
      </w:pPr>
      <w:r>
        <w:rPr>
          <w:rFonts w:eastAsia="方正仿宋_GBK"/>
          <w:sz w:val="32"/>
        </w:rPr>
        <w:t>在Ⅲ级响应措施的基础上增加或强化以下措施：</w:t>
      </w:r>
    </w:p>
    <w:p>
      <w:pPr>
        <w:snapToGrid w:val="0"/>
        <w:spacing w:line="560" w:lineRule="exact"/>
        <w:ind w:firstLine="632" w:firstLineChars="200"/>
        <w:rPr>
          <w:rFonts w:eastAsia="方正仿宋_GBK"/>
          <w:sz w:val="32"/>
        </w:rPr>
      </w:pPr>
      <w:r>
        <w:rPr>
          <w:rFonts w:eastAsia="方正仿宋_GBK"/>
          <w:sz w:val="32"/>
        </w:rPr>
        <w:t>4.2.3.1 倡导性减排措施</w:t>
      </w:r>
    </w:p>
    <w:p>
      <w:pPr>
        <w:snapToGrid w:val="0"/>
        <w:spacing w:line="560" w:lineRule="exact"/>
        <w:ind w:firstLine="632" w:firstLineChars="200"/>
        <w:rPr>
          <w:rFonts w:eastAsia="方正仿宋_GBK"/>
          <w:sz w:val="32"/>
        </w:rPr>
      </w:pPr>
      <w:r>
        <w:rPr>
          <w:rFonts w:eastAsia="方正仿宋_GBK"/>
          <w:sz w:val="32"/>
        </w:rPr>
        <w:t>指导企事业单位根据重污染天气实际情况、应急响应措施，采取调休、错峰上下班、远程办公等弹性工作制。</w:t>
      </w:r>
    </w:p>
    <w:p>
      <w:pPr>
        <w:snapToGrid w:val="0"/>
        <w:spacing w:line="560" w:lineRule="exact"/>
        <w:ind w:firstLine="632" w:firstLineChars="200"/>
        <w:rPr>
          <w:rFonts w:eastAsia="方正仿宋_GBK"/>
          <w:sz w:val="32"/>
        </w:rPr>
      </w:pPr>
      <w:r>
        <w:rPr>
          <w:rFonts w:eastAsia="方正仿宋_GBK"/>
          <w:sz w:val="32"/>
        </w:rPr>
        <w:t>4.2.3.2 强制性减排措施</w:t>
      </w:r>
    </w:p>
    <w:p>
      <w:pPr>
        <w:snapToGrid w:val="0"/>
        <w:spacing w:line="560" w:lineRule="exact"/>
        <w:ind w:firstLine="632" w:firstLineChars="200"/>
        <w:rPr>
          <w:rFonts w:eastAsia="方正仿宋_GBK"/>
          <w:sz w:val="32"/>
        </w:rPr>
      </w:pPr>
      <w:r>
        <w:rPr>
          <w:rFonts w:eastAsia="方正仿宋_GBK"/>
          <w:sz w:val="32"/>
        </w:rPr>
        <w:t>在保障城市正常运行的条件下，采取以下措施：</w:t>
      </w:r>
    </w:p>
    <w:p>
      <w:pPr>
        <w:snapToGrid w:val="0"/>
        <w:spacing w:line="560" w:lineRule="exact"/>
        <w:ind w:firstLine="632" w:firstLineChars="200"/>
        <w:rPr>
          <w:rFonts w:eastAsia="方正仿宋_GBK"/>
          <w:sz w:val="32"/>
        </w:rPr>
      </w:pPr>
      <w:r>
        <w:rPr>
          <w:rFonts w:eastAsia="方正仿宋_GBK"/>
          <w:sz w:val="32"/>
        </w:rPr>
        <w:t>工业源减排措施。</w:t>
      </w:r>
      <w:r>
        <w:rPr>
          <w:rFonts w:hint="eastAsia" w:eastAsia="方正仿宋_GBK"/>
          <w:sz w:val="32"/>
        </w:rPr>
        <w:t>生态环境分局会同产业促进局督促工业企业严格落实《重污染天气应急响应“一厂一策”实施方案》Ⅱ级应急响应减排措施，针对涉气工序采取停限产或提高污染治理设施运行效率等方式实现减排，减少不低于减排比例要求的大气污染物排放量</w:t>
      </w:r>
      <w:r>
        <w:rPr>
          <w:rFonts w:eastAsia="方正仿宋_GBK"/>
          <w:sz w:val="32"/>
        </w:rPr>
        <w:t>。</w:t>
      </w:r>
    </w:p>
    <w:p>
      <w:pPr>
        <w:snapToGrid w:val="0"/>
        <w:spacing w:line="560" w:lineRule="exact"/>
        <w:ind w:firstLine="632" w:firstLineChars="200"/>
        <w:rPr>
          <w:rFonts w:eastAsia="方正仿宋_GBK"/>
          <w:sz w:val="32"/>
        </w:rPr>
      </w:pPr>
      <w:r>
        <w:rPr>
          <w:rFonts w:eastAsia="方正仿宋_GBK"/>
          <w:sz w:val="32"/>
        </w:rPr>
        <w:t>扬尘源减排措施。建设管理局</w:t>
      </w:r>
      <w:r>
        <w:rPr>
          <w:rFonts w:hint="eastAsia" w:eastAsia="方正仿宋_GBK"/>
          <w:sz w:val="32"/>
        </w:rPr>
        <w:t>、城市管理局</w:t>
      </w:r>
      <w:r>
        <w:rPr>
          <w:rFonts w:eastAsia="方正仿宋_GBK"/>
          <w:sz w:val="32"/>
        </w:rPr>
        <w:t>依法禁止所有渣土消纳场接纳渣土或进行场内渣土转运和挖掘施工作业</w:t>
      </w:r>
      <w:r>
        <w:rPr>
          <w:rFonts w:hint="eastAsia" w:eastAsia="方正仿宋_GBK"/>
          <w:sz w:val="32"/>
        </w:rPr>
        <w:t>；</w:t>
      </w:r>
      <w:r>
        <w:rPr>
          <w:rFonts w:eastAsia="方正仿宋_GBK"/>
          <w:sz w:val="32"/>
        </w:rPr>
        <w:t>加强施工扬尘环境监管和执法检查工作，督促施工单位停工。</w:t>
      </w:r>
      <w:r>
        <w:rPr>
          <w:rFonts w:hint="eastAsia" w:eastAsia="方正仿宋_GBK"/>
          <w:sz w:val="32"/>
        </w:rPr>
        <w:t>生态环境分局</w:t>
      </w:r>
      <w:r>
        <w:rPr>
          <w:rFonts w:eastAsia="方正仿宋_GBK"/>
          <w:sz w:val="32"/>
        </w:rPr>
        <w:t>加强对产生扬尘、粉尘、烟尘等重点企业的煤、焦、渣、沙石等堆场实施覆盖或者不间断喷淋等控尘措施情况的检查</w:t>
      </w:r>
      <w:r>
        <w:rPr>
          <w:rFonts w:hint="eastAsia" w:eastAsia="方正仿宋_GBK"/>
          <w:sz w:val="32"/>
        </w:rPr>
        <w:t>；要求</w:t>
      </w:r>
      <w:r>
        <w:rPr>
          <w:rFonts w:eastAsia="方正仿宋_GBK"/>
          <w:sz w:val="32"/>
        </w:rPr>
        <w:t>重点企业</w:t>
      </w:r>
      <w:r>
        <w:rPr>
          <w:rFonts w:hint="eastAsia" w:eastAsia="方正仿宋_GBK"/>
          <w:sz w:val="32"/>
        </w:rPr>
        <w:t>对堆放有</w:t>
      </w:r>
      <w:r>
        <w:rPr>
          <w:rFonts w:eastAsia="方正仿宋_GBK"/>
          <w:sz w:val="32"/>
        </w:rPr>
        <w:t>煤、焦、渣、沙石</w:t>
      </w:r>
      <w:r>
        <w:rPr>
          <w:rFonts w:hint="eastAsia" w:eastAsia="方正仿宋_GBK"/>
          <w:sz w:val="32"/>
        </w:rPr>
        <w:t>等</w:t>
      </w:r>
      <w:r>
        <w:rPr>
          <w:rFonts w:eastAsia="方正仿宋_GBK"/>
          <w:sz w:val="32"/>
        </w:rPr>
        <w:t>施工</w:t>
      </w:r>
      <w:r>
        <w:rPr>
          <w:rFonts w:hint="eastAsia" w:eastAsia="方正仿宋_GBK"/>
          <w:sz w:val="32"/>
        </w:rPr>
        <w:t>或</w:t>
      </w:r>
      <w:r>
        <w:rPr>
          <w:rFonts w:eastAsia="方正仿宋_GBK"/>
          <w:sz w:val="32"/>
        </w:rPr>
        <w:t>生产经营现场</w:t>
      </w:r>
      <w:r>
        <w:rPr>
          <w:rFonts w:hint="eastAsia" w:eastAsia="方正仿宋_GBK"/>
          <w:sz w:val="32"/>
        </w:rPr>
        <w:t>提高</w:t>
      </w:r>
      <w:r>
        <w:rPr>
          <w:rFonts w:eastAsia="方正仿宋_GBK"/>
          <w:sz w:val="32"/>
        </w:rPr>
        <w:t>洒水冲洗频次，每日不少于</w:t>
      </w:r>
      <w:r>
        <w:rPr>
          <w:rFonts w:hint="eastAsia" w:eastAsia="方正仿宋_GBK"/>
          <w:sz w:val="32"/>
        </w:rPr>
        <w:t>8</w:t>
      </w:r>
      <w:r>
        <w:rPr>
          <w:rFonts w:eastAsia="方正仿宋_GBK"/>
          <w:sz w:val="32"/>
        </w:rPr>
        <w:t>次；</w:t>
      </w:r>
      <w:r>
        <w:rPr>
          <w:rFonts w:hint="eastAsia" w:eastAsia="方正仿宋_GBK"/>
          <w:sz w:val="32"/>
        </w:rPr>
        <w:t>督促</w:t>
      </w:r>
      <w:r>
        <w:rPr>
          <w:rFonts w:eastAsia="方正仿宋_GBK"/>
          <w:sz w:val="32"/>
        </w:rPr>
        <w:t>建筑工地对料堆、土堆提高洒水和喷淋频次或采取覆盖措施</w:t>
      </w:r>
      <w:r>
        <w:rPr>
          <w:rFonts w:hint="eastAsia" w:eastAsia="方正仿宋_GBK"/>
          <w:sz w:val="32"/>
        </w:rPr>
        <w:t>。城市管理局</w:t>
      </w:r>
      <w:r>
        <w:rPr>
          <w:rFonts w:eastAsia="方正仿宋_GBK"/>
          <w:sz w:val="32"/>
        </w:rPr>
        <w:t>依法禁止所有园林绿化、道路开挖等室外施工作业</w:t>
      </w:r>
      <w:r>
        <w:rPr>
          <w:rFonts w:hint="eastAsia" w:eastAsia="方正仿宋_GBK"/>
          <w:sz w:val="32"/>
        </w:rPr>
        <w:t>；加强</w:t>
      </w:r>
      <w:r>
        <w:rPr>
          <w:rFonts w:eastAsia="方正仿宋_GBK"/>
          <w:sz w:val="32"/>
        </w:rPr>
        <w:t>城市道路洒水冲洗频次，每日不少于</w:t>
      </w:r>
      <w:r>
        <w:rPr>
          <w:rFonts w:hint="eastAsia" w:eastAsia="方正仿宋_GBK"/>
          <w:sz w:val="32"/>
        </w:rPr>
        <w:t>8</w:t>
      </w:r>
      <w:r>
        <w:rPr>
          <w:rFonts w:eastAsia="方正仿宋_GBK"/>
          <w:sz w:val="32"/>
        </w:rPr>
        <w:t>次，增加夜间洒水冲洗作业</w:t>
      </w:r>
      <w:r>
        <w:rPr>
          <w:rFonts w:hint="eastAsia" w:eastAsia="方正仿宋_GBK"/>
          <w:sz w:val="32"/>
        </w:rPr>
        <w:t>；</w:t>
      </w:r>
      <w:r>
        <w:rPr>
          <w:rFonts w:eastAsia="方正仿宋_GBK"/>
          <w:sz w:val="32"/>
        </w:rPr>
        <w:t>加强对露天焚烧秸秆的查处力度。</w:t>
      </w:r>
    </w:p>
    <w:p>
      <w:pPr>
        <w:snapToGrid w:val="0"/>
        <w:spacing w:line="560" w:lineRule="exact"/>
        <w:ind w:firstLine="632" w:firstLineChars="200"/>
        <w:rPr>
          <w:rFonts w:eastAsia="方正仿宋_GBK"/>
          <w:sz w:val="32"/>
        </w:rPr>
      </w:pPr>
      <w:r>
        <w:rPr>
          <w:rFonts w:eastAsia="方正仿宋_GBK"/>
          <w:sz w:val="32"/>
        </w:rPr>
        <w:t>移动源减排措施。</w:t>
      </w:r>
      <w:r>
        <w:rPr>
          <w:rFonts w:hint="eastAsia" w:eastAsia="方正仿宋_GBK"/>
          <w:sz w:val="32"/>
        </w:rPr>
        <w:t>公安分局</w:t>
      </w:r>
      <w:r>
        <w:rPr>
          <w:rFonts w:eastAsia="方正仿宋_GBK"/>
          <w:sz w:val="32"/>
        </w:rPr>
        <w:t>依法禁止高排放机动车在绕城高速公路以内区域的城市道路行驶</w:t>
      </w:r>
      <w:r>
        <w:rPr>
          <w:rFonts w:hint="eastAsia" w:eastAsia="方正仿宋_GBK"/>
          <w:sz w:val="32"/>
        </w:rPr>
        <w:t>。在两江新区现有交通管制措施基础上，对重点路段（金渝大道、金开大道、金童路、栖霞路等）实行限流和绕行措施</w:t>
      </w:r>
      <w:r>
        <w:rPr>
          <w:rFonts w:eastAsia="方正仿宋_GBK"/>
          <w:sz w:val="32"/>
        </w:rPr>
        <w:t>。</w:t>
      </w:r>
    </w:p>
    <w:p>
      <w:pPr>
        <w:snapToGrid w:val="0"/>
        <w:spacing w:line="560" w:lineRule="exact"/>
        <w:ind w:firstLine="632" w:firstLineChars="200"/>
        <w:rPr>
          <w:rFonts w:eastAsia="方正仿宋_GBK"/>
          <w:b/>
          <w:bCs/>
          <w:sz w:val="32"/>
        </w:rPr>
      </w:pPr>
      <w:r>
        <w:rPr>
          <w:rFonts w:eastAsia="方正仿宋_GBK"/>
          <w:b/>
          <w:bCs/>
          <w:sz w:val="32"/>
        </w:rPr>
        <w:t>4.2.4 I级响应措施</w:t>
      </w:r>
    </w:p>
    <w:p>
      <w:pPr>
        <w:snapToGrid w:val="0"/>
        <w:spacing w:line="560" w:lineRule="exact"/>
        <w:ind w:firstLine="632" w:firstLineChars="200"/>
        <w:rPr>
          <w:rFonts w:eastAsia="方正仿宋_GBK"/>
          <w:sz w:val="32"/>
        </w:rPr>
      </w:pPr>
      <w:r>
        <w:rPr>
          <w:rFonts w:eastAsia="方正仿宋_GBK"/>
          <w:sz w:val="32"/>
        </w:rPr>
        <w:t>在II级响应措施的基础上增加或强化以下措施：</w:t>
      </w:r>
    </w:p>
    <w:p>
      <w:pPr>
        <w:snapToGrid w:val="0"/>
        <w:spacing w:line="560" w:lineRule="exact"/>
        <w:ind w:firstLine="632" w:firstLineChars="200"/>
        <w:rPr>
          <w:rFonts w:eastAsia="方正仿宋_GBK"/>
          <w:sz w:val="32"/>
        </w:rPr>
      </w:pPr>
      <w:r>
        <w:rPr>
          <w:rFonts w:eastAsia="方正仿宋_GBK"/>
          <w:sz w:val="32"/>
        </w:rPr>
        <w:t>4.2.4.1 健康防护措施</w:t>
      </w:r>
    </w:p>
    <w:p>
      <w:pPr>
        <w:snapToGrid w:val="0"/>
        <w:spacing w:line="560" w:lineRule="exact"/>
        <w:ind w:firstLine="632" w:firstLineChars="200"/>
        <w:rPr>
          <w:rFonts w:eastAsia="方正仿宋_GBK"/>
          <w:sz w:val="32"/>
        </w:rPr>
      </w:pPr>
      <w:r>
        <w:rPr>
          <w:rFonts w:eastAsia="方正仿宋_GBK"/>
          <w:sz w:val="32"/>
        </w:rPr>
        <w:t>教育</w:t>
      </w:r>
      <w:r>
        <w:rPr>
          <w:rFonts w:hint="eastAsia" w:eastAsia="方正仿宋_GBK"/>
          <w:sz w:val="32"/>
        </w:rPr>
        <w:t>局</w:t>
      </w:r>
      <w:r>
        <w:rPr>
          <w:rFonts w:eastAsia="方正仿宋_GBK"/>
          <w:sz w:val="32"/>
        </w:rPr>
        <w:t>指导幼儿园和中小学校依法取消学生户外活动或停课，可通过远程教育等方式安排学生在家学习。</w:t>
      </w:r>
    </w:p>
    <w:p>
      <w:pPr>
        <w:snapToGrid w:val="0"/>
        <w:spacing w:line="560" w:lineRule="exact"/>
        <w:ind w:firstLine="632" w:firstLineChars="200"/>
        <w:rPr>
          <w:rFonts w:eastAsia="方正仿宋_GBK"/>
          <w:sz w:val="32"/>
        </w:rPr>
      </w:pPr>
      <w:r>
        <w:rPr>
          <w:rFonts w:eastAsia="方正仿宋_GBK"/>
          <w:sz w:val="32"/>
        </w:rPr>
        <w:t>4.2.4.2 强制性减排措施</w:t>
      </w:r>
    </w:p>
    <w:p>
      <w:pPr>
        <w:snapToGrid w:val="0"/>
        <w:spacing w:line="560" w:lineRule="exact"/>
        <w:ind w:firstLine="632" w:firstLineChars="200"/>
        <w:rPr>
          <w:rFonts w:eastAsia="方正仿宋_GBK"/>
          <w:sz w:val="32"/>
        </w:rPr>
      </w:pPr>
      <w:r>
        <w:rPr>
          <w:rFonts w:eastAsia="方正仿宋_GBK"/>
          <w:sz w:val="32"/>
        </w:rPr>
        <w:t>在保障城市正常运行的条件下，采取以下措施：</w:t>
      </w:r>
    </w:p>
    <w:p>
      <w:pPr>
        <w:snapToGrid w:val="0"/>
        <w:spacing w:line="560" w:lineRule="exact"/>
        <w:ind w:firstLine="632" w:firstLineChars="200"/>
        <w:rPr>
          <w:rFonts w:eastAsia="方正仿宋_GBK"/>
          <w:sz w:val="32"/>
        </w:rPr>
      </w:pPr>
      <w:r>
        <w:rPr>
          <w:rFonts w:eastAsia="方正仿宋_GBK"/>
          <w:sz w:val="32"/>
        </w:rPr>
        <w:t>工业源减排措施。</w:t>
      </w:r>
      <w:r>
        <w:rPr>
          <w:rFonts w:hint="eastAsia" w:eastAsia="方正仿宋_GBK"/>
          <w:sz w:val="32"/>
        </w:rPr>
        <w:t>生态环境分局会同产业促进局督促工业企业严格落实《</w:t>
      </w:r>
      <w:r>
        <w:rPr>
          <w:rFonts w:eastAsia="方正仿宋_GBK"/>
          <w:sz w:val="32"/>
        </w:rPr>
        <w:t>重污染天气应急响应“</w:t>
      </w:r>
      <w:r>
        <w:rPr>
          <w:rFonts w:hint="eastAsia" w:eastAsia="方正仿宋_GBK"/>
          <w:sz w:val="32"/>
        </w:rPr>
        <w:t>一厂一策</w:t>
      </w:r>
      <w:r>
        <w:rPr>
          <w:rFonts w:eastAsia="方正仿宋_GBK"/>
          <w:sz w:val="32"/>
        </w:rPr>
        <w:t>”实施方案</w:t>
      </w:r>
      <w:r>
        <w:rPr>
          <w:rFonts w:hint="eastAsia" w:eastAsia="方正仿宋_GBK"/>
          <w:sz w:val="32"/>
        </w:rPr>
        <w:t>》Ⅰ级应急响应减排措施，减少不低于减排比例要求的大气污染物排放量。产业促进局依法责令列入年度落后产能淘汰计划的排</w:t>
      </w:r>
      <w:r>
        <w:rPr>
          <w:rFonts w:hint="eastAsia" w:ascii="方正仿宋_GBK" w:hAnsi="方正仿宋_GBK" w:eastAsia="方正仿宋_GBK" w:cs="方正仿宋_GBK"/>
          <w:color w:val="000000"/>
          <w:sz w:val="32"/>
          <w:szCs w:val="32"/>
        </w:rPr>
        <w:t>放大气污染物企业停产。</w:t>
      </w:r>
    </w:p>
    <w:p>
      <w:pPr>
        <w:snapToGrid w:val="0"/>
        <w:spacing w:line="560" w:lineRule="exact"/>
        <w:ind w:firstLine="632" w:firstLineChars="200"/>
        <w:rPr>
          <w:rFonts w:eastAsia="方正仿宋_GBK"/>
          <w:sz w:val="32"/>
        </w:rPr>
      </w:pPr>
      <w:r>
        <w:rPr>
          <w:rFonts w:eastAsia="方正仿宋_GBK"/>
          <w:sz w:val="32"/>
        </w:rPr>
        <w:t>扬尘源减排措施。</w:t>
      </w:r>
      <w:r>
        <w:rPr>
          <w:rFonts w:hint="eastAsia" w:eastAsia="方正仿宋_GBK"/>
          <w:sz w:val="32"/>
        </w:rPr>
        <w:t>生态环境分局会同产业促进局督促</w:t>
      </w:r>
      <w:r>
        <w:rPr>
          <w:rFonts w:eastAsia="方正仿宋_GBK"/>
          <w:sz w:val="32"/>
        </w:rPr>
        <w:t>重点企业煤、焦、渣、沙石</w:t>
      </w:r>
      <w:r>
        <w:rPr>
          <w:rFonts w:hint="eastAsia" w:eastAsia="方正仿宋_GBK"/>
          <w:sz w:val="32"/>
        </w:rPr>
        <w:t>等堆场停止作业。</w:t>
      </w:r>
    </w:p>
    <w:p>
      <w:pPr>
        <w:snapToGrid w:val="0"/>
        <w:spacing w:line="560" w:lineRule="exact"/>
        <w:ind w:firstLine="632" w:firstLineChars="200"/>
        <w:rPr>
          <w:rFonts w:eastAsia="方正仿宋_GBK"/>
          <w:sz w:val="32"/>
        </w:rPr>
      </w:pPr>
      <w:r>
        <w:rPr>
          <w:rFonts w:eastAsia="方正仿宋_GBK"/>
          <w:sz w:val="32"/>
        </w:rPr>
        <w:t>移动源减排措施。</w:t>
      </w:r>
      <w:r>
        <w:rPr>
          <w:rFonts w:hint="eastAsia" w:eastAsia="方正仿宋_GBK"/>
          <w:sz w:val="32"/>
          <w:szCs w:val="32"/>
        </w:rPr>
        <w:t>公安分局</w:t>
      </w:r>
      <w:r>
        <w:rPr>
          <w:rFonts w:hint="eastAsia" w:eastAsia="方正仿宋_GBK"/>
          <w:sz w:val="32"/>
        </w:rPr>
        <w:t>在两江新区现有交通管制措施基础上，对重点路段（鸳鸯路、鸳鸯北路、金海大道江与城段、天山大道等）实行限流和绕行措施</w:t>
      </w:r>
      <w:r>
        <w:rPr>
          <w:rFonts w:eastAsia="方正仿宋_GBK"/>
          <w:sz w:val="32"/>
        </w:rPr>
        <w:t>。</w:t>
      </w:r>
    </w:p>
    <w:p>
      <w:pPr>
        <w:keepNext/>
        <w:keepLines/>
        <w:snapToGrid w:val="0"/>
        <w:spacing w:line="560" w:lineRule="exact"/>
        <w:ind w:firstLine="632" w:firstLineChars="200"/>
        <w:outlineLvl w:val="0"/>
        <w:rPr>
          <w:rFonts w:eastAsia="方正黑体_GBK"/>
          <w:b/>
          <w:bCs/>
          <w:kern w:val="44"/>
          <w:sz w:val="32"/>
          <w:szCs w:val="44"/>
        </w:rPr>
      </w:pPr>
      <w:bookmarkStart w:id="33" w:name="_Toc13948"/>
      <w:bookmarkStart w:id="34" w:name="_Toc31357"/>
      <w:r>
        <w:rPr>
          <w:rFonts w:eastAsia="方正黑体_GBK"/>
          <w:b/>
          <w:bCs/>
          <w:color w:val="000000"/>
          <w:kern w:val="44"/>
          <w:sz w:val="32"/>
          <w:szCs w:val="32"/>
        </w:rPr>
        <w:t>5 信息公开</w:t>
      </w:r>
      <w:bookmarkEnd w:id="33"/>
    </w:p>
    <w:bookmarkEnd w:id="34"/>
    <w:p>
      <w:pPr>
        <w:keepNext/>
        <w:keepLines/>
        <w:snapToGrid w:val="0"/>
        <w:spacing w:line="560" w:lineRule="exact"/>
        <w:ind w:firstLine="632" w:firstLineChars="200"/>
        <w:outlineLvl w:val="1"/>
        <w:rPr>
          <w:rFonts w:eastAsia="方正楷体_GBK"/>
          <w:b/>
          <w:bCs/>
          <w:sz w:val="32"/>
          <w:szCs w:val="32"/>
        </w:rPr>
      </w:pPr>
      <w:bookmarkStart w:id="35" w:name="_Toc19778"/>
      <w:r>
        <w:rPr>
          <w:rFonts w:eastAsia="方正楷体_GBK"/>
          <w:b/>
          <w:bCs/>
          <w:sz w:val="32"/>
          <w:szCs w:val="32"/>
        </w:rPr>
        <w:t>5.1 应急响应报告和通报</w:t>
      </w:r>
      <w:bookmarkEnd w:id="35"/>
    </w:p>
    <w:p>
      <w:pPr>
        <w:snapToGrid w:val="0"/>
        <w:spacing w:line="560" w:lineRule="exact"/>
        <w:ind w:firstLine="632" w:firstLineChars="200"/>
        <w:rPr>
          <w:rFonts w:eastAsia="方正仿宋_GBK"/>
          <w:sz w:val="32"/>
        </w:rPr>
      </w:pPr>
      <w:r>
        <w:rPr>
          <w:rFonts w:eastAsia="方正仿宋_GBK"/>
          <w:sz w:val="32"/>
        </w:rPr>
        <w:t>应急指挥部应在重污染天气预警发布、调整和解除后1天内将相关信息报市指挥部办公室。</w:t>
      </w:r>
    </w:p>
    <w:p>
      <w:pPr>
        <w:keepNext/>
        <w:keepLines/>
        <w:snapToGrid w:val="0"/>
        <w:spacing w:line="560" w:lineRule="exact"/>
        <w:ind w:firstLine="632" w:firstLineChars="200"/>
        <w:outlineLvl w:val="1"/>
        <w:rPr>
          <w:rFonts w:eastAsia="方正楷体_GBK"/>
          <w:b/>
          <w:bCs/>
          <w:sz w:val="32"/>
          <w:szCs w:val="32"/>
        </w:rPr>
      </w:pPr>
      <w:bookmarkStart w:id="36" w:name="_Toc8165"/>
      <w:r>
        <w:rPr>
          <w:rFonts w:eastAsia="方正楷体_GBK"/>
          <w:b/>
          <w:bCs/>
          <w:sz w:val="32"/>
          <w:szCs w:val="32"/>
        </w:rPr>
        <w:t>5.2 新闻发布</w:t>
      </w:r>
      <w:bookmarkEnd w:id="36"/>
    </w:p>
    <w:p>
      <w:pPr>
        <w:snapToGrid w:val="0"/>
        <w:spacing w:line="560" w:lineRule="exact"/>
        <w:ind w:firstLine="632" w:firstLineChars="200"/>
        <w:rPr>
          <w:rFonts w:eastAsia="方正仿宋_GBK"/>
          <w:sz w:val="32"/>
        </w:rPr>
      </w:pPr>
      <w:r>
        <w:rPr>
          <w:rFonts w:eastAsia="方正仿宋_GBK"/>
          <w:sz w:val="32"/>
        </w:rPr>
        <w:t>借助传统媒体和新媒体平台，通过发布新闻通稿、举行新闻发布会等形式，主动、及时、准确、客观向社会发布预警信息和应对情况，回应社会关切，澄清不实信息，正确引导社会舆论。</w:t>
      </w:r>
    </w:p>
    <w:p>
      <w:pPr>
        <w:keepNext/>
        <w:keepLines/>
        <w:snapToGrid w:val="0"/>
        <w:spacing w:line="560" w:lineRule="exact"/>
        <w:ind w:firstLine="632" w:firstLineChars="200"/>
        <w:outlineLvl w:val="0"/>
        <w:rPr>
          <w:rFonts w:eastAsia="方正黑体_GBK"/>
          <w:b/>
          <w:bCs/>
          <w:kern w:val="44"/>
          <w:sz w:val="32"/>
          <w:szCs w:val="44"/>
        </w:rPr>
      </w:pPr>
      <w:bookmarkStart w:id="37" w:name="_Toc25161"/>
      <w:bookmarkStart w:id="38" w:name="_Toc2339"/>
      <w:r>
        <w:rPr>
          <w:rFonts w:eastAsia="方正黑体_GBK"/>
          <w:b/>
          <w:bCs/>
          <w:kern w:val="44"/>
          <w:sz w:val="32"/>
          <w:szCs w:val="44"/>
        </w:rPr>
        <w:t>6 总结评估</w:t>
      </w:r>
      <w:bookmarkEnd w:id="37"/>
    </w:p>
    <w:p>
      <w:pPr>
        <w:snapToGrid w:val="0"/>
        <w:spacing w:line="560" w:lineRule="exact"/>
        <w:ind w:firstLine="632" w:firstLineChars="200"/>
        <w:rPr>
          <w:rFonts w:eastAsia="方正仿宋_GBK"/>
          <w:sz w:val="32"/>
        </w:rPr>
      </w:pPr>
      <w:r>
        <w:rPr>
          <w:rFonts w:eastAsia="方正仿宋_GBK"/>
          <w:sz w:val="32"/>
        </w:rPr>
        <w:t>预警解除时，响应自行终止。应急指挥部办公室及时组织开展调查、分析，评估响应措施落实情况及效果，分析存在的问题，提出对策建议，并及时向</w:t>
      </w:r>
      <w:r>
        <w:rPr>
          <w:rFonts w:hint="eastAsia" w:eastAsia="方正仿宋_GBK"/>
          <w:sz w:val="32"/>
        </w:rPr>
        <w:t>应急指挥部</w:t>
      </w:r>
      <w:r>
        <w:rPr>
          <w:rFonts w:eastAsia="方正仿宋_GBK"/>
          <w:sz w:val="32"/>
        </w:rPr>
        <w:t>和</w:t>
      </w:r>
      <w:r>
        <w:rPr>
          <w:rFonts w:hint="eastAsia" w:eastAsia="方正仿宋_GBK"/>
          <w:sz w:val="32"/>
        </w:rPr>
        <w:t>市</w:t>
      </w:r>
      <w:r>
        <w:rPr>
          <w:rFonts w:eastAsia="方正仿宋_GBK"/>
          <w:sz w:val="32"/>
        </w:rPr>
        <w:t>生态环境</w:t>
      </w:r>
      <w:r>
        <w:rPr>
          <w:rFonts w:hint="eastAsia" w:eastAsia="方正仿宋_GBK"/>
          <w:sz w:val="32"/>
        </w:rPr>
        <w:t>局</w:t>
      </w:r>
      <w:r>
        <w:rPr>
          <w:rFonts w:eastAsia="方正仿宋_GBK"/>
          <w:sz w:val="32"/>
        </w:rPr>
        <w:t>报送总结评估报告。</w:t>
      </w:r>
    </w:p>
    <w:bookmarkEnd w:id="38"/>
    <w:p>
      <w:pPr>
        <w:keepNext/>
        <w:keepLines/>
        <w:snapToGrid w:val="0"/>
        <w:spacing w:line="560" w:lineRule="exact"/>
        <w:ind w:firstLine="632" w:firstLineChars="200"/>
        <w:outlineLvl w:val="0"/>
        <w:rPr>
          <w:rFonts w:eastAsia="方正黑体_GBK"/>
          <w:b/>
          <w:bCs/>
          <w:kern w:val="44"/>
          <w:sz w:val="32"/>
          <w:szCs w:val="44"/>
        </w:rPr>
      </w:pPr>
      <w:bookmarkStart w:id="39" w:name="_Toc11938"/>
      <w:bookmarkStart w:id="40" w:name="_Toc14805"/>
      <w:r>
        <w:rPr>
          <w:rFonts w:eastAsia="方正黑体_GBK"/>
          <w:b/>
          <w:bCs/>
          <w:kern w:val="44"/>
          <w:sz w:val="32"/>
          <w:szCs w:val="44"/>
        </w:rPr>
        <w:t>7 应急保障</w:t>
      </w:r>
      <w:bookmarkEnd w:id="39"/>
    </w:p>
    <w:p>
      <w:pPr>
        <w:keepNext/>
        <w:keepLines/>
        <w:snapToGrid w:val="0"/>
        <w:spacing w:line="560" w:lineRule="exact"/>
        <w:ind w:firstLine="632" w:firstLineChars="200"/>
        <w:outlineLvl w:val="1"/>
        <w:rPr>
          <w:rFonts w:eastAsia="方正楷体_GBK"/>
          <w:b/>
          <w:bCs/>
          <w:sz w:val="32"/>
          <w:szCs w:val="32"/>
        </w:rPr>
      </w:pPr>
      <w:bookmarkStart w:id="41" w:name="_Toc1972"/>
      <w:r>
        <w:rPr>
          <w:rFonts w:eastAsia="方正楷体_GBK"/>
          <w:b/>
          <w:bCs/>
          <w:sz w:val="32"/>
          <w:szCs w:val="32"/>
        </w:rPr>
        <w:t>7.1 队伍保障</w:t>
      </w:r>
      <w:bookmarkEnd w:id="41"/>
    </w:p>
    <w:p>
      <w:pPr>
        <w:snapToGrid w:val="0"/>
        <w:spacing w:line="560" w:lineRule="exact"/>
        <w:ind w:firstLine="632" w:firstLineChars="200"/>
        <w:rPr>
          <w:rFonts w:eastAsia="方正仿宋_GBK"/>
          <w:sz w:val="32"/>
        </w:rPr>
      </w:pPr>
      <w:r>
        <w:rPr>
          <w:rFonts w:eastAsia="方正仿宋_GBK"/>
          <w:sz w:val="32"/>
        </w:rPr>
        <w:t>加强环境空气质量预测预报能力建设，组织开展专业技术培训，提高重污染天气监测预警能力。</w:t>
      </w:r>
      <w:r>
        <w:rPr>
          <w:rFonts w:hint="eastAsia" w:eastAsia="方正仿宋_GBK"/>
          <w:sz w:val="32"/>
        </w:rPr>
        <w:t>组织</w:t>
      </w:r>
      <w:r>
        <w:rPr>
          <w:rFonts w:eastAsia="方正仿宋_GBK"/>
          <w:sz w:val="32"/>
        </w:rPr>
        <w:t>建立重污染天气应对专家库，充分发挥专家在指挥决策、应急处置等方面的智囊作用，及时提供专业咨询。</w:t>
      </w:r>
    </w:p>
    <w:p>
      <w:pPr>
        <w:keepNext/>
        <w:keepLines/>
        <w:snapToGrid w:val="0"/>
        <w:spacing w:line="560" w:lineRule="exact"/>
        <w:ind w:firstLine="632" w:firstLineChars="200"/>
        <w:outlineLvl w:val="1"/>
        <w:rPr>
          <w:rFonts w:eastAsia="方正楷体_GBK"/>
          <w:b/>
          <w:bCs/>
          <w:sz w:val="32"/>
          <w:szCs w:val="32"/>
        </w:rPr>
      </w:pPr>
      <w:bookmarkStart w:id="42" w:name="_Toc6169"/>
      <w:r>
        <w:rPr>
          <w:rFonts w:eastAsia="方正楷体_GBK"/>
          <w:b/>
          <w:bCs/>
          <w:sz w:val="32"/>
          <w:szCs w:val="32"/>
        </w:rPr>
        <w:t>7.2 物资保障</w:t>
      </w:r>
      <w:bookmarkEnd w:id="42"/>
    </w:p>
    <w:p>
      <w:pPr>
        <w:snapToGrid w:val="0"/>
        <w:spacing w:line="560" w:lineRule="exact"/>
        <w:ind w:firstLine="632" w:firstLineChars="200"/>
        <w:rPr>
          <w:rFonts w:eastAsia="方正仿宋_GBK"/>
          <w:sz w:val="32"/>
        </w:rPr>
      </w:pPr>
      <w:r>
        <w:rPr>
          <w:rFonts w:eastAsia="方正仿宋_GBK"/>
          <w:sz w:val="32"/>
        </w:rPr>
        <w:t>加强环境应急监测应急设备配备和日常维护管理，确保性能稳定、数据准确，保障重污染天气污染预报、应急监测、污染控制、处理处置等应对工作需求。</w:t>
      </w:r>
    </w:p>
    <w:p>
      <w:pPr>
        <w:snapToGrid w:val="0"/>
        <w:spacing w:line="560" w:lineRule="exact"/>
        <w:ind w:firstLine="632" w:firstLineChars="200"/>
        <w:rPr>
          <w:rFonts w:eastAsia="方正仿宋_GBK"/>
          <w:sz w:val="32"/>
        </w:rPr>
      </w:pPr>
      <w:r>
        <w:rPr>
          <w:rFonts w:eastAsia="方正仿宋_GBK"/>
          <w:sz w:val="32"/>
        </w:rPr>
        <w:t>加强医疗机构应急能力建设，持续强化重污染天气情况下呼吸道疾病易感人群激增的应对措施，提高呼吸道疾病应急接诊和医疗救护能力。</w:t>
      </w:r>
    </w:p>
    <w:p>
      <w:pPr>
        <w:keepNext/>
        <w:keepLines/>
        <w:snapToGrid w:val="0"/>
        <w:spacing w:line="560" w:lineRule="exact"/>
        <w:ind w:firstLine="632" w:firstLineChars="200"/>
        <w:outlineLvl w:val="1"/>
        <w:rPr>
          <w:rFonts w:eastAsia="方正楷体_GBK"/>
          <w:b/>
          <w:bCs/>
          <w:sz w:val="32"/>
          <w:szCs w:val="32"/>
        </w:rPr>
      </w:pPr>
      <w:bookmarkStart w:id="43" w:name="_Toc21069"/>
      <w:r>
        <w:rPr>
          <w:rFonts w:eastAsia="方正楷体_GBK"/>
          <w:b/>
          <w:bCs/>
          <w:sz w:val="32"/>
          <w:szCs w:val="32"/>
        </w:rPr>
        <w:t>7.3 经费保障</w:t>
      </w:r>
      <w:bookmarkEnd w:id="43"/>
    </w:p>
    <w:p>
      <w:pPr>
        <w:snapToGrid w:val="0"/>
        <w:spacing w:line="560" w:lineRule="exact"/>
        <w:ind w:firstLine="632" w:firstLineChars="200"/>
        <w:rPr>
          <w:rFonts w:eastAsia="方正仿宋_GBK"/>
          <w:sz w:val="32"/>
        </w:rPr>
      </w:pPr>
      <w:r>
        <w:rPr>
          <w:rFonts w:eastAsia="方正仿宋_GBK"/>
          <w:sz w:val="32"/>
        </w:rPr>
        <w:t>加大大气污染防治资金投入力度，保障重污染天气应急减排清单修编、监测预警、应急处置、监督检查、基础设施建设、应急技术支持等工作经费需求。</w:t>
      </w:r>
    </w:p>
    <w:p>
      <w:pPr>
        <w:keepNext/>
        <w:keepLines/>
        <w:snapToGrid w:val="0"/>
        <w:spacing w:line="560" w:lineRule="exact"/>
        <w:ind w:firstLine="632" w:firstLineChars="200"/>
        <w:outlineLvl w:val="1"/>
        <w:rPr>
          <w:rFonts w:eastAsia="方正楷体_GBK"/>
          <w:b/>
          <w:bCs/>
          <w:sz w:val="32"/>
          <w:szCs w:val="32"/>
        </w:rPr>
      </w:pPr>
      <w:bookmarkStart w:id="44" w:name="_Toc26361"/>
      <w:r>
        <w:rPr>
          <w:rFonts w:eastAsia="方正楷体_GBK"/>
          <w:b/>
          <w:bCs/>
          <w:sz w:val="32"/>
          <w:szCs w:val="32"/>
        </w:rPr>
        <w:t>7.4 信息联络保障</w:t>
      </w:r>
      <w:bookmarkEnd w:id="44"/>
    </w:p>
    <w:p>
      <w:pPr>
        <w:snapToGrid w:val="0"/>
        <w:spacing w:line="560" w:lineRule="exact"/>
        <w:ind w:firstLine="632" w:firstLineChars="200"/>
        <w:rPr>
          <w:rFonts w:eastAsia="方正仿宋_GBK"/>
          <w:sz w:val="32"/>
        </w:rPr>
      </w:pPr>
      <w:r>
        <w:rPr>
          <w:rFonts w:hint="eastAsia" w:eastAsia="方正仿宋_GBK"/>
          <w:sz w:val="32"/>
        </w:rPr>
        <w:t>两江新区</w:t>
      </w:r>
      <w:r>
        <w:rPr>
          <w:rFonts w:eastAsia="方正仿宋_GBK"/>
          <w:sz w:val="32"/>
        </w:rPr>
        <w:t>有关部门、有关单位要健全重污染天气应急值守制度，健全通信保障机制，明确重污染天气应急负责人和联络员，保持24小时通信畅通，确保应急信息和指令及时有效传达。</w:t>
      </w:r>
    </w:p>
    <w:p>
      <w:pPr>
        <w:keepNext/>
        <w:keepLines/>
        <w:snapToGrid w:val="0"/>
        <w:spacing w:line="560" w:lineRule="exact"/>
        <w:ind w:firstLine="632" w:firstLineChars="200"/>
        <w:outlineLvl w:val="1"/>
        <w:rPr>
          <w:rFonts w:eastAsia="方正楷体_GBK"/>
          <w:b/>
          <w:bCs/>
          <w:sz w:val="32"/>
          <w:szCs w:val="32"/>
        </w:rPr>
      </w:pPr>
      <w:bookmarkStart w:id="45" w:name="_Toc3788"/>
      <w:r>
        <w:rPr>
          <w:rFonts w:eastAsia="方正楷体_GBK"/>
          <w:b/>
          <w:bCs/>
          <w:sz w:val="32"/>
          <w:szCs w:val="32"/>
        </w:rPr>
        <w:t>7.5 其他保障</w:t>
      </w:r>
      <w:bookmarkEnd w:id="45"/>
    </w:p>
    <w:p>
      <w:pPr>
        <w:snapToGrid w:val="0"/>
        <w:spacing w:line="560" w:lineRule="exact"/>
        <w:ind w:firstLine="632" w:firstLineChars="200"/>
        <w:rPr>
          <w:rFonts w:eastAsia="方正仿宋_GBK"/>
          <w:sz w:val="32"/>
        </w:rPr>
      </w:pPr>
      <w:r>
        <w:rPr>
          <w:rFonts w:hint="eastAsia" w:eastAsia="方正仿宋_GBK"/>
          <w:sz w:val="32"/>
        </w:rPr>
        <w:t>两江新区</w:t>
      </w:r>
      <w:r>
        <w:rPr>
          <w:rFonts w:eastAsia="方正仿宋_GBK"/>
          <w:sz w:val="32"/>
        </w:rPr>
        <w:t>有关</w:t>
      </w:r>
      <w:r>
        <w:rPr>
          <w:rFonts w:hint="eastAsia" w:eastAsia="方正仿宋_GBK"/>
          <w:sz w:val="32"/>
        </w:rPr>
        <w:t>街道、</w:t>
      </w:r>
      <w:r>
        <w:rPr>
          <w:rFonts w:eastAsia="方正仿宋_GBK"/>
          <w:sz w:val="32"/>
        </w:rPr>
        <w:t>部门、单位要加强重污染天气应对知识的宣传、教育，提高公众自我保护意识和自救互救能力。定期组织开展应急预案的培训和演练，提升重污染天气应对能力。</w:t>
      </w:r>
    </w:p>
    <w:p>
      <w:pPr>
        <w:keepNext/>
        <w:keepLines/>
        <w:snapToGrid w:val="0"/>
        <w:spacing w:line="560" w:lineRule="exact"/>
        <w:ind w:firstLine="632" w:firstLineChars="200"/>
        <w:outlineLvl w:val="0"/>
        <w:rPr>
          <w:rFonts w:eastAsia="方正黑体_GBK"/>
          <w:b/>
          <w:bCs/>
          <w:kern w:val="44"/>
          <w:sz w:val="32"/>
          <w:szCs w:val="44"/>
        </w:rPr>
      </w:pPr>
      <w:bookmarkStart w:id="46" w:name="_Toc5821"/>
      <w:r>
        <w:rPr>
          <w:rFonts w:eastAsia="方正黑体_GBK"/>
          <w:b/>
          <w:bCs/>
          <w:kern w:val="44"/>
          <w:sz w:val="32"/>
          <w:szCs w:val="44"/>
        </w:rPr>
        <w:t>8 监督问责</w:t>
      </w:r>
      <w:bookmarkEnd w:id="46"/>
    </w:p>
    <w:p>
      <w:pPr>
        <w:snapToGrid w:val="0"/>
        <w:spacing w:line="560" w:lineRule="exact"/>
        <w:ind w:firstLine="632" w:firstLineChars="200"/>
        <w:rPr>
          <w:rFonts w:eastAsia="方正仿宋_GBK"/>
          <w:sz w:val="32"/>
        </w:rPr>
      </w:pPr>
      <w:r>
        <w:rPr>
          <w:rFonts w:hint="eastAsia" w:eastAsia="方正仿宋_GBK"/>
          <w:sz w:val="32"/>
        </w:rPr>
        <w:t>两江新区</w:t>
      </w:r>
      <w:r>
        <w:rPr>
          <w:rFonts w:eastAsia="方正仿宋_GBK"/>
          <w:sz w:val="32"/>
        </w:rPr>
        <w:t>有关</w:t>
      </w:r>
      <w:r>
        <w:rPr>
          <w:rFonts w:hint="eastAsia" w:eastAsia="方正仿宋_GBK"/>
          <w:sz w:val="32"/>
        </w:rPr>
        <w:t>街道、</w:t>
      </w:r>
      <w:r>
        <w:rPr>
          <w:rFonts w:eastAsia="方正仿宋_GBK"/>
          <w:sz w:val="32"/>
        </w:rPr>
        <w:t>部门、单位要对重污染天气预警期间应急减排措施的落实情况进行严格监管。充分利用大数据、智能化分析等手段，实时分析污染源在线监测、城市工业用电量、重点涉气企业用电量、城市车流量、重型载货车活动水平、非道路移动机械作业动态、遥感等数据，筛选涉嫌存在应急减排措施不落实的企业，对其进行重点监督检查。严厉打击应急响应期间减排措施不落实、自动监测数据造假、生产记录造假等违法行为。对已评定绩效等级的工业企业、绿色标杆工地等，未达到相应指标要求的，按规定降级处理。</w:t>
      </w:r>
    </w:p>
    <w:p>
      <w:pPr>
        <w:snapToGrid w:val="0"/>
        <w:spacing w:line="560" w:lineRule="exact"/>
        <w:ind w:firstLine="632" w:firstLineChars="200"/>
        <w:rPr>
          <w:rFonts w:eastAsia="方正仿宋_GBK"/>
          <w:sz w:val="32"/>
        </w:rPr>
      </w:pPr>
      <w:r>
        <w:rPr>
          <w:rFonts w:hint="eastAsia" w:eastAsia="方正仿宋_GBK"/>
          <w:sz w:val="32"/>
        </w:rPr>
        <w:t>指挥部对各街道、部门、单位应急</w:t>
      </w:r>
      <w:r>
        <w:rPr>
          <w:rFonts w:hint="eastAsia" w:eastAsia="方正仿宋_GBK"/>
          <w:sz w:val="32"/>
          <w:lang w:val="en-US" w:eastAsia="zh-CN"/>
        </w:rPr>
        <w:t>响应</w:t>
      </w:r>
      <w:bookmarkStart w:id="60" w:name="_GoBack"/>
      <w:bookmarkEnd w:id="60"/>
      <w:r>
        <w:rPr>
          <w:rFonts w:hint="eastAsia" w:eastAsia="方正仿宋_GBK"/>
          <w:sz w:val="32"/>
        </w:rPr>
        <w:t>情况进行督察，对未按规定开展重污染天气应对的通报，并报两江新区管委会进行问责。</w:t>
      </w:r>
    </w:p>
    <w:p>
      <w:pPr>
        <w:keepNext/>
        <w:keepLines/>
        <w:snapToGrid w:val="0"/>
        <w:spacing w:line="560" w:lineRule="exact"/>
        <w:ind w:firstLine="632" w:firstLineChars="200"/>
        <w:outlineLvl w:val="0"/>
        <w:rPr>
          <w:rFonts w:eastAsia="方正黑体_GBK"/>
          <w:b/>
          <w:bCs/>
          <w:kern w:val="44"/>
          <w:sz w:val="32"/>
          <w:szCs w:val="44"/>
        </w:rPr>
      </w:pPr>
      <w:bookmarkStart w:id="47" w:name="_Toc11741"/>
      <w:r>
        <w:rPr>
          <w:rFonts w:eastAsia="方正黑体_GBK"/>
          <w:b/>
          <w:bCs/>
          <w:kern w:val="44"/>
          <w:sz w:val="32"/>
          <w:szCs w:val="44"/>
        </w:rPr>
        <w:t>9 附则</w:t>
      </w:r>
      <w:bookmarkEnd w:id="40"/>
      <w:bookmarkEnd w:id="47"/>
    </w:p>
    <w:p>
      <w:pPr>
        <w:keepNext/>
        <w:keepLines/>
        <w:snapToGrid w:val="0"/>
        <w:spacing w:line="560" w:lineRule="exact"/>
        <w:ind w:firstLine="632" w:firstLineChars="200"/>
        <w:outlineLvl w:val="1"/>
        <w:rPr>
          <w:rFonts w:eastAsia="方正楷体_GBK"/>
          <w:b/>
          <w:bCs/>
          <w:sz w:val="32"/>
          <w:szCs w:val="32"/>
        </w:rPr>
      </w:pPr>
      <w:bookmarkStart w:id="48" w:name="_Toc5139"/>
      <w:r>
        <w:rPr>
          <w:rFonts w:eastAsia="方正楷体_GBK"/>
          <w:b/>
          <w:bCs/>
          <w:sz w:val="32"/>
          <w:szCs w:val="32"/>
        </w:rPr>
        <w:t>9.1 预案管理</w:t>
      </w:r>
      <w:bookmarkEnd w:id="48"/>
    </w:p>
    <w:p>
      <w:pPr>
        <w:snapToGrid w:val="0"/>
        <w:spacing w:line="560" w:lineRule="exact"/>
        <w:ind w:firstLine="632" w:firstLineChars="200"/>
        <w:rPr>
          <w:color w:val="000000"/>
          <w:sz w:val="32"/>
          <w:szCs w:val="32"/>
        </w:rPr>
      </w:pPr>
      <w:r>
        <w:rPr>
          <w:rFonts w:eastAsia="方正仿宋_GBK"/>
          <w:sz w:val="32"/>
        </w:rPr>
        <w:t>应急指挥部办公室定期组织区级有关部门、有关单位开展应急预案评估工作，适时对本预案进行修订。本预案有效期原则上不超过5年。</w:t>
      </w:r>
    </w:p>
    <w:p>
      <w:pPr>
        <w:keepNext/>
        <w:keepLines/>
        <w:snapToGrid w:val="0"/>
        <w:spacing w:line="560" w:lineRule="exact"/>
        <w:ind w:firstLine="632" w:firstLineChars="200"/>
        <w:outlineLvl w:val="1"/>
        <w:rPr>
          <w:rFonts w:eastAsia="方正楷体_GBK"/>
          <w:b/>
          <w:bCs/>
          <w:sz w:val="32"/>
          <w:szCs w:val="32"/>
          <w:lang w:val="en-GB"/>
        </w:rPr>
      </w:pPr>
      <w:bookmarkStart w:id="49" w:name="_Toc30049"/>
      <w:r>
        <w:rPr>
          <w:rFonts w:eastAsia="方正楷体_GBK"/>
          <w:b/>
          <w:bCs/>
          <w:sz w:val="32"/>
          <w:szCs w:val="32"/>
        </w:rPr>
        <w:t>9.</w:t>
      </w:r>
      <w:bookmarkStart w:id="50" w:name="_Toc2246"/>
      <w:r>
        <w:rPr>
          <w:rFonts w:hint="eastAsia" w:eastAsia="方正楷体_GBK"/>
          <w:b/>
          <w:bCs/>
          <w:sz w:val="32"/>
          <w:szCs w:val="32"/>
        </w:rPr>
        <w:t>2</w:t>
      </w:r>
      <w:r>
        <w:rPr>
          <w:rFonts w:eastAsia="方正楷体_GBK"/>
          <w:b/>
          <w:bCs/>
          <w:sz w:val="32"/>
          <w:szCs w:val="32"/>
          <w:lang w:val="en-GB"/>
        </w:rPr>
        <w:t>实施时间</w:t>
      </w:r>
      <w:bookmarkEnd w:id="49"/>
      <w:bookmarkEnd w:id="50"/>
    </w:p>
    <w:p>
      <w:pPr>
        <w:snapToGrid w:val="0"/>
        <w:spacing w:line="560" w:lineRule="exact"/>
        <w:ind w:firstLine="632" w:firstLineChars="200"/>
        <w:rPr>
          <w:rFonts w:eastAsia="方正仿宋_GBK"/>
          <w:color w:val="000000"/>
          <w:sz w:val="32"/>
          <w:szCs w:val="32"/>
        </w:rPr>
      </w:pPr>
      <w:r>
        <w:rPr>
          <w:rFonts w:eastAsia="方正仿宋_GBK"/>
          <w:sz w:val="32"/>
        </w:rPr>
        <w:t>本预案自发布之日起实施。《重庆</w:t>
      </w:r>
      <w:r>
        <w:rPr>
          <w:rFonts w:hint="eastAsia" w:eastAsia="方正仿宋_GBK"/>
          <w:sz w:val="32"/>
        </w:rPr>
        <w:t>两江新区</w:t>
      </w:r>
      <w:r>
        <w:rPr>
          <w:rFonts w:eastAsia="方正仿宋_GBK"/>
          <w:sz w:val="32"/>
        </w:rPr>
        <w:t>空气重污染天气应急预案》</w:t>
      </w:r>
      <w:r>
        <w:rPr>
          <w:rFonts w:hint="eastAsia" w:eastAsia="方正仿宋_GBK"/>
          <w:color w:val="000000"/>
          <w:sz w:val="32"/>
          <w:szCs w:val="32"/>
        </w:rPr>
        <w:t>（渝两江管办发﹝2017﹞106号）</w:t>
      </w:r>
      <w:r>
        <w:rPr>
          <w:rFonts w:eastAsia="方正仿宋_GBK"/>
          <w:color w:val="000000"/>
          <w:sz w:val="32"/>
          <w:szCs w:val="32"/>
        </w:rPr>
        <w:t>同时废止。</w:t>
      </w:r>
    </w:p>
    <w:p>
      <w:pPr>
        <w:keepNext/>
        <w:keepLines/>
        <w:snapToGrid w:val="0"/>
        <w:spacing w:line="560" w:lineRule="exact"/>
        <w:ind w:firstLine="632" w:firstLineChars="200"/>
        <w:outlineLvl w:val="1"/>
        <w:rPr>
          <w:rFonts w:eastAsia="方正楷体_GBK"/>
          <w:b/>
          <w:bCs/>
          <w:sz w:val="32"/>
          <w:szCs w:val="32"/>
        </w:rPr>
      </w:pPr>
      <w:r>
        <w:rPr>
          <w:rFonts w:eastAsia="方正楷体_GBK"/>
          <w:b/>
          <w:bCs/>
          <w:sz w:val="32"/>
          <w:szCs w:val="32"/>
        </w:rPr>
        <w:t>9.</w:t>
      </w:r>
      <w:r>
        <w:rPr>
          <w:rFonts w:hint="eastAsia" w:eastAsia="方正楷体_GBK"/>
          <w:b/>
          <w:bCs/>
          <w:sz w:val="32"/>
          <w:szCs w:val="32"/>
        </w:rPr>
        <w:t>3</w:t>
      </w:r>
      <w:r>
        <w:rPr>
          <w:rFonts w:hint="eastAsia" w:eastAsia="方正楷体_GBK"/>
          <w:b/>
          <w:bCs/>
          <w:sz w:val="32"/>
          <w:szCs w:val="32"/>
          <w:lang w:val="en-GB"/>
        </w:rPr>
        <w:t>预案解释</w:t>
      </w:r>
    </w:p>
    <w:p>
      <w:pPr>
        <w:snapToGrid w:val="0"/>
        <w:spacing w:line="560" w:lineRule="exact"/>
        <w:ind w:firstLine="632" w:firstLineChars="200"/>
        <w:rPr>
          <w:rFonts w:eastAsia="方正仿宋_GBK"/>
          <w:sz w:val="32"/>
        </w:rPr>
      </w:pPr>
      <w:r>
        <w:rPr>
          <w:rFonts w:hint="eastAsia" w:eastAsia="方正仿宋_GBK"/>
          <w:sz w:val="32"/>
        </w:rPr>
        <w:t>本预案由重庆市生态环境局两江新区分局负责解释。</w:t>
      </w:r>
    </w:p>
    <w:p>
      <w:pPr>
        <w:snapToGrid w:val="0"/>
        <w:spacing w:line="560" w:lineRule="exact"/>
        <w:ind w:firstLine="632" w:firstLineChars="200"/>
        <w:rPr>
          <w:rFonts w:eastAsia="方正仿宋_GBK"/>
          <w:sz w:val="32"/>
        </w:rPr>
      </w:pPr>
      <w:r>
        <w:rPr>
          <w:rFonts w:eastAsia="方正仿宋_GBK"/>
          <w:sz w:val="32"/>
        </w:rPr>
        <w:t>附件：</w:t>
      </w:r>
    </w:p>
    <w:p>
      <w:pPr>
        <w:snapToGrid w:val="0"/>
        <w:spacing w:line="560" w:lineRule="exact"/>
        <w:ind w:firstLine="632" w:firstLineChars="200"/>
        <w:rPr>
          <w:rFonts w:eastAsia="方正仿宋_GBK"/>
          <w:sz w:val="32"/>
        </w:rPr>
      </w:pPr>
      <w:r>
        <w:rPr>
          <w:rFonts w:hint="eastAsia" w:eastAsia="方正仿宋_GBK"/>
          <w:sz w:val="32"/>
        </w:rPr>
        <w:t>1</w:t>
      </w:r>
      <w:r>
        <w:rPr>
          <w:rFonts w:eastAsia="方正仿宋_GBK"/>
          <w:sz w:val="32"/>
        </w:rPr>
        <w:t>.</w:t>
      </w:r>
      <w:r>
        <w:rPr>
          <w:rFonts w:hint="eastAsia" w:eastAsia="方正仿宋_GBK"/>
          <w:sz w:val="32"/>
        </w:rPr>
        <w:t>两江新区</w:t>
      </w:r>
      <w:r>
        <w:rPr>
          <w:rFonts w:eastAsia="方正仿宋_GBK"/>
          <w:sz w:val="32"/>
        </w:rPr>
        <w:t>重污染天气应急处置组织架构图</w:t>
      </w:r>
    </w:p>
    <w:p>
      <w:pPr>
        <w:snapToGrid w:val="0"/>
        <w:spacing w:line="560" w:lineRule="exact"/>
        <w:ind w:firstLine="632" w:firstLineChars="200"/>
        <w:rPr>
          <w:rFonts w:eastAsia="方正仿宋_GBK"/>
          <w:sz w:val="32"/>
        </w:rPr>
      </w:pPr>
      <w:r>
        <w:rPr>
          <w:rFonts w:hint="eastAsia" w:eastAsia="方正仿宋_GBK"/>
          <w:sz w:val="32"/>
        </w:rPr>
        <w:t>2.两江新区重污染天气应急响应流程图</w:t>
      </w:r>
    </w:p>
    <w:p>
      <w:pPr>
        <w:snapToGrid w:val="0"/>
        <w:spacing w:line="560" w:lineRule="exact"/>
        <w:ind w:firstLine="632" w:firstLineChars="200"/>
        <w:rPr>
          <w:rFonts w:eastAsia="方正仿宋_GBK"/>
          <w:bCs/>
          <w:sz w:val="32"/>
          <w:szCs w:val="32"/>
        </w:rPr>
      </w:pPr>
      <w:r>
        <w:rPr>
          <w:rFonts w:hint="eastAsia" w:eastAsia="方正仿宋_GBK"/>
          <w:sz w:val="32"/>
        </w:rPr>
        <w:t>3</w:t>
      </w:r>
      <w:r>
        <w:rPr>
          <w:rFonts w:eastAsia="方正仿宋_GBK"/>
          <w:sz w:val="32"/>
        </w:rPr>
        <w:t>.两江新区重污染天气应急响应期间减排措施名单</w:t>
      </w:r>
    </w:p>
    <w:p>
      <w:pPr>
        <w:snapToGrid w:val="0"/>
        <w:spacing w:line="560" w:lineRule="exact"/>
        <w:rPr>
          <w:rFonts w:eastAsia="方正黑体_GBK"/>
          <w:szCs w:val="32"/>
        </w:rPr>
        <w:sectPr>
          <w:footerReference r:id="rId6" w:type="default"/>
          <w:pgSz w:w="11906" w:h="16838"/>
          <w:pgMar w:top="2098" w:right="1474" w:bottom="1984" w:left="1587" w:header="851" w:footer="1474" w:gutter="0"/>
          <w:pgNumType w:start="1"/>
          <w:cols w:space="720" w:num="1"/>
          <w:docGrid w:type="linesAndChars" w:linePitch="579" w:charSpace="-842"/>
        </w:sectPr>
      </w:pPr>
    </w:p>
    <w:p>
      <w:pPr>
        <w:keepNext/>
        <w:keepLines/>
        <w:spacing w:line="560" w:lineRule="exact"/>
        <w:outlineLvl w:val="0"/>
        <w:rPr>
          <w:rFonts w:eastAsia="方正仿宋_GBK"/>
          <w:b/>
          <w:bCs/>
          <w:sz w:val="32"/>
          <w:szCs w:val="32"/>
        </w:rPr>
      </w:pPr>
      <w:bookmarkStart w:id="51" w:name="_Toc5593"/>
      <w:bookmarkStart w:id="52" w:name="_Toc4507"/>
      <w:r>
        <w:rPr>
          <w:rFonts w:eastAsia="方正黑体_GBK"/>
          <w:b/>
          <w:bCs/>
          <w:kern w:val="44"/>
          <w:sz w:val="32"/>
          <w:szCs w:val="44"/>
        </w:rPr>
        <w:t>附件</w:t>
      </w:r>
      <w:bookmarkEnd w:id="51"/>
      <w:r>
        <w:rPr>
          <w:rFonts w:hint="eastAsia" w:eastAsia="方正黑体_GBK"/>
          <w:b/>
          <w:bCs/>
          <w:kern w:val="44"/>
          <w:sz w:val="32"/>
          <w:szCs w:val="44"/>
        </w:rPr>
        <w:t>1</w:t>
      </w:r>
      <w:bookmarkEnd w:id="52"/>
      <w:r>
        <w:rPr>
          <w:rFonts w:eastAsia="方正黑体_GBK"/>
          <w:b/>
          <w:bCs/>
          <w:kern w:val="44"/>
          <w:sz w:val="32"/>
          <w:szCs w:val="44"/>
        </w:rPr>
        <w:t xml:space="preserve">   </w:t>
      </w:r>
      <w:r>
        <w:rPr>
          <w:rFonts w:eastAsia="方正仿宋_GBK"/>
          <w:b/>
          <w:bCs/>
          <w:sz w:val="32"/>
          <w:szCs w:val="32"/>
        </w:rPr>
        <w:t xml:space="preserve">        </w:t>
      </w:r>
    </w:p>
    <w:p>
      <w:pPr>
        <w:spacing w:before="150" w:after="150" w:line="560" w:lineRule="exact"/>
        <w:ind w:firstLine="643" w:firstLineChars="200"/>
        <w:jc w:val="center"/>
        <w:rPr>
          <w:rFonts w:eastAsia="方正仿宋_GBK"/>
          <w:sz w:val="32"/>
          <w:szCs w:val="32"/>
        </w:rPr>
      </w:pPr>
      <w:bookmarkStart w:id="53" w:name="_Toc20047"/>
      <w:r>
        <w:rPr>
          <w:rFonts w:hint="eastAsia"/>
          <w:b/>
          <w:sz w:val="32"/>
          <w:szCs w:val="32"/>
        </w:rPr>
        <w:t>重庆两江新区</w:t>
      </w:r>
      <w:r>
        <w:rPr>
          <w:rFonts w:eastAsia="方正仿宋_GBK"/>
          <w:b/>
          <w:sz w:val="32"/>
          <w:szCs w:val="32"/>
        </w:rPr>
        <w:t>重污染天气应急处置组织架构图</w:t>
      </w:r>
      <w:bookmarkEnd w:id="53"/>
      <w:r>
        <w:rPr>
          <w:rFonts w:hint="eastAsia"/>
          <w:b/>
          <w:sz w:val="32"/>
          <w:szCs w:val="32"/>
        </w:rPr>
        <w:t>与联系表</w:t>
      </w:r>
    </w:p>
    <w:p>
      <w:pPr>
        <w:spacing w:line="560" w:lineRule="exact"/>
        <w:ind w:firstLine="640" w:firstLineChars="200"/>
        <w:jc w:val="center"/>
        <w:rPr>
          <w:rFonts w:eastAsia="方正黑体_GBK"/>
          <w:sz w:val="32"/>
        </w:rPr>
      </w:pPr>
      <w:r>
        <w:rPr>
          <w:rFonts w:eastAsia="方正黑体_GBK"/>
          <w:sz w:val="32"/>
        </w:rPr>
        <mc:AlternateContent>
          <mc:Choice Requires="wpg">
            <w:drawing>
              <wp:anchor distT="0" distB="0" distL="114300" distR="114300" simplePos="0" relativeHeight="251659264" behindDoc="0" locked="0" layoutInCell="1" allowOverlap="1">
                <wp:simplePos x="0" y="0"/>
                <wp:positionH relativeFrom="column">
                  <wp:posOffset>456565</wp:posOffset>
                </wp:positionH>
                <wp:positionV relativeFrom="paragraph">
                  <wp:posOffset>118110</wp:posOffset>
                </wp:positionV>
                <wp:extent cx="7936230" cy="3777615"/>
                <wp:effectExtent l="5080" t="4445" r="21590" b="8890"/>
                <wp:wrapNone/>
                <wp:docPr id="26" name="组合 26"/>
                <wp:cNvGraphicFramePr/>
                <a:graphic xmlns:a="http://schemas.openxmlformats.org/drawingml/2006/main">
                  <a:graphicData uri="http://schemas.microsoft.com/office/word/2010/wordprocessingGroup">
                    <wpg:wgp>
                      <wpg:cNvGrpSpPr/>
                      <wpg:grpSpPr>
                        <a:xfrm>
                          <a:off x="0" y="0"/>
                          <a:ext cx="7936230" cy="3777615"/>
                          <a:chOff x="0" y="0"/>
                          <a:chExt cx="12498" cy="5949"/>
                        </a:xfrm>
                        <a:effectLst/>
                      </wpg:grpSpPr>
                      <wps:wsp>
                        <wps:cNvPr id="4" name="直接连接符 4"/>
                        <wps:cNvCnPr/>
                        <wps:spPr>
                          <a:xfrm>
                            <a:off x="1200" y="1988"/>
                            <a:ext cx="0" cy="198"/>
                          </a:xfrm>
                          <a:prstGeom prst="line">
                            <a:avLst/>
                          </a:prstGeom>
                          <a:ln w="9525" cap="flat" cmpd="sng">
                            <a:solidFill>
                              <a:srgbClr val="000000"/>
                            </a:solidFill>
                            <a:prstDash val="solid"/>
                            <a:headEnd type="none" w="med" len="med"/>
                            <a:tailEnd type="none" w="med" len="med"/>
                          </a:ln>
                          <a:effectLst/>
                        </wps:spPr>
                        <wps:bodyPr/>
                      </wps:wsp>
                      <wps:wsp>
                        <wps:cNvPr id="5" name="直接连接符 5"/>
                        <wps:cNvCnPr/>
                        <wps:spPr>
                          <a:xfrm>
                            <a:off x="3780" y="1976"/>
                            <a:ext cx="0" cy="198"/>
                          </a:xfrm>
                          <a:prstGeom prst="line">
                            <a:avLst/>
                          </a:prstGeom>
                          <a:ln w="9525" cap="flat" cmpd="sng">
                            <a:solidFill>
                              <a:srgbClr val="000000"/>
                            </a:solidFill>
                            <a:prstDash val="solid"/>
                            <a:headEnd type="none" w="med" len="med"/>
                            <a:tailEnd type="none" w="med" len="med"/>
                          </a:ln>
                          <a:effectLst/>
                        </wps:spPr>
                        <wps:bodyPr/>
                      </wps:wsp>
                      <wps:wsp>
                        <wps:cNvPr id="6" name="直接连接符 6"/>
                        <wps:cNvCnPr/>
                        <wps:spPr>
                          <a:xfrm>
                            <a:off x="6306" y="1988"/>
                            <a:ext cx="0" cy="198"/>
                          </a:xfrm>
                          <a:prstGeom prst="line">
                            <a:avLst/>
                          </a:prstGeom>
                          <a:ln w="9525" cap="flat" cmpd="sng">
                            <a:solidFill>
                              <a:srgbClr val="000000"/>
                            </a:solidFill>
                            <a:prstDash val="solid"/>
                            <a:headEnd type="none" w="med" len="med"/>
                            <a:tailEnd type="none" w="med" len="med"/>
                          </a:ln>
                          <a:effectLst/>
                        </wps:spPr>
                        <wps:bodyPr/>
                      </wps:wsp>
                      <wps:wsp>
                        <wps:cNvPr id="7" name="直接连接符 7"/>
                        <wps:cNvCnPr/>
                        <wps:spPr>
                          <a:xfrm>
                            <a:off x="8778" y="1982"/>
                            <a:ext cx="0" cy="198"/>
                          </a:xfrm>
                          <a:prstGeom prst="line">
                            <a:avLst/>
                          </a:prstGeom>
                          <a:ln w="9525" cap="flat" cmpd="sng">
                            <a:solidFill>
                              <a:srgbClr val="000000"/>
                            </a:solidFill>
                            <a:prstDash val="solid"/>
                            <a:headEnd type="none" w="med" len="med"/>
                            <a:tailEnd type="none" w="med" len="med"/>
                          </a:ln>
                          <a:effectLst/>
                        </wps:spPr>
                        <wps:bodyPr/>
                      </wps:wsp>
                      <wps:wsp>
                        <wps:cNvPr id="8" name="直接连接符 8"/>
                        <wps:cNvCnPr/>
                        <wps:spPr>
                          <a:xfrm>
                            <a:off x="11293" y="1976"/>
                            <a:ext cx="0" cy="198"/>
                          </a:xfrm>
                          <a:prstGeom prst="line">
                            <a:avLst/>
                          </a:prstGeom>
                          <a:ln w="9525" cap="flat" cmpd="sng">
                            <a:solidFill>
                              <a:srgbClr val="000000"/>
                            </a:solidFill>
                            <a:prstDash val="solid"/>
                            <a:headEnd type="none" w="med" len="med"/>
                            <a:tailEnd type="none" w="med" len="med"/>
                          </a:ln>
                          <a:effectLst/>
                        </wps:spPr>
                        <wps:bodyPr/>
                      </wps:wsp>
                      <wps:wsp>
                        <wps:cNvPr id="9" name="圆角矩形 9"/>
                        <wps:cNvSpPr/>
                        <wps:spPr>
                          <a:xfrm>
                            <a:off x="1511" y="0"/>
                            <a:ext cx="9609" cy="1209"/>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napToGrid w:val="0"/>
                                <w:spacing w:line="340" w:lineRule="exact"/>
                                <w:ind w:firstLine="562" w:firstLineChars="200"/>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两江新区重污染天气应急管理工作指挥部</w:t>
                              </w:r>
                            </w:p>
                            <w:p>
                              <w:pPr>
                                <w:snapToGrid w:val="0"/>
                                <w:spacing w:line="28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 xml:space="preserve">指 挥 长：分管副主任 </w:t>
                              </w:r>
                            </w:p>
                            <w:p>
                              <w:pPr>
                                <w:snapToGrid w:val="0"/>
                                <w:spacing w:line="280" w:lineRule="exact"/>
                                <w:ind w:left="1197" w:hanging="1197" w:hangingChars="497"/>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副指挥长：生态环境分局主要负责人</w:t>
                              </w:r>
                            </w:p>
                            <w:p>
                              <w:pPr>
                                <w:snapToGrid w:val="0"/>
                                <w:spacing w:line="280" w:lineRule="exact"/>
                                <w:ind w:firstLine="480" w:firstLineChars="200"/>
                                <w:rPr>
                                  <w:rFonts w:eastAsia="方正书宋_GBK"/>
                                  <w:sz w:val="24"/>
                                </w:rPr>
                              </w:pPr>
                            </w:p>
                            <w:p>
                              <w:pPr>
                                <w:snapToGrid w:val="0"/>
                                <w:spacing w:line="280" w:lineRule="exact"/>
                                <w:ind w:left="1193" w:hanging="1192" w:hangingChars="497"/>
                                <w:rPr>
                                  <w:rFonts w:eastAsia="方正书宋_GBK"/>
                                  <w:sz w:val="24"/>
                                </w:rPr>
                              </w:pPr>
                            </w:p>
                            <w:p>
                              <w:pPr>
                                <w:snapToGrid w:val="0"/>
                                <w:spacing w:line="280" w:lineRule="exact"/>
                                <w:ind w:left="1193" w:hanging="1192" w:hangingChars="497"/>
                                <w:rPr>
                                  <w:rFonts w:eastAsia="方正书宋_GBK"/>
                                  <w:sz w:val="24"/>
                                </w:rPr>
                              </w:pPr>
                            </w:p>
                          </w:txbxContent>
                        </wps:txbx>
                        <wps:bodyPr lIns="0" tIns="0" rIns="0" bIns="0" anchor="ctr" anchorCtr="0" upright="1"/>
                      </wps:wsp>
                      <wps:wsp>
                        <wps:cNvPr id="10" name="圆角矩形 10"/>
                        <wps:cNvSpPr/>
                        <wps:spPr>
                          <a:xfrm>
                            <a:off x="2775" y="1626"/>
                            <a:ext cx="2040" cy="34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220" w:lineRule="exact"/>
                                <w:jc w:val="center"/>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工业废气应急组</w:t>
                              </w:r>
                            </w:p>
                          </w:txbxContent>
                        </wps:txbx>
                        <wps:bodyPr lIns="0" tIns="0" rIns="0" bIns="0" anchor="ctr" anchorCtr="0" upright="1"/>
                      </wps:wsp>
                      <wps:wsp>
                        <wps:cNvPr id="11" name="圆角矩形 11"/>
                        <wps:cNvSpPr/>
                        <wps:spPr>
                          <a:xfrm>
                            <a:off x="5272" y="1648"/>
                            <a:ext cx="2047" cy="34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220" w:lineRule="exact"/>
                                <w:jc w:val="center"/>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城市扬尘应急组</w:t>
                              </w:r>
                            </w:p>
                          </w:txbxContent>
                        </wps:txbx>
                        <wps:bodyPr lIns="0" tIns="0" rIns="0" bIns="0" anchor="ctr" anchorCtr="0" upright="1"/>
                      </wps:wsp>
                      <wps:wsp>
                        <wps:cNvPr id="12" name="圆角矩形 12"/>
                        <wps:cNvSpPr/>
                        <wps:spPr>
                          <a:xfrm>
                            <a:off x="7764" y="1648"/>
                            <a:ext cx="2019" cy="34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220" w:lineRule="exact"/>
                                <w:jc w:val="center"/>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机动车排气应急组</w:t>
                              </w:r>
                            </w:p>
                          </w:txbxContent>
                        </wps:txbx>
                        <wps:bodyPr lIns="0" tIns="0" rIns="0" bIns="0" anchor="ctr" anchorCtr="0" upright="1"/>
                      </wps:wsp>
                      <wps:wsp>
                        <wps:cNvPr id="13" name="圆角矩形 13"/>
                        <wps:cNvSpPr/>
                        <wps:spPr>
                          <a:xfrm>
                            <a:off x="10268" y="1619"/>
                            <a:ext cx="2089" cy="34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220" w:lineRule="exact"/>
                                <w:jc w:val="center"/>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宣传引导组</w:t>
                              </w:r>
                            </w:p>
                          </w:txbxContent>
                        </wps:txbx>
                        <wps:bodyPr lIns="0" tIns="0" rIns="0" bIns="0" anchor="ctr" anchorCtr="0" upright="1"/>
                      </wps:wsp>
                      <wps:wsp>
                        <wps:cNvPr id="14" name="圆角矩形 14"/>
                        <wps:cNvSpPr/>
                        <wps:spPr>
                          <a:xfrm>
                            <a:off x="0" y="2125"/>
                            <a:ext cx="2425" cy="3764"/>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220" w:lineRule="exact"/>
                                <w:ind w:firstLine="320" w:firstLineChars="200"/>
                                <w:rPr>
                                  <w:rFonts w:ascii="方正书宋_GBK" w:hAnsi="宋体" w:eastAsia="方正书宋_GBK"/>
                                  <w:sz w:val="16"/>
                                  <w:szCs w:val="16"/>
                                </w:rPr>
                              </w:pPr>
                              <w:r>
                                <w:rPr>
                                  <w:rFonts w:hint="eastAsia" w:ascii="方正仿宋_GBK" w:hAnsi="方正仿宋_GBK" w:eastAsia="方正仿宋_GBK" w:cs="方正仿宋_GBK"/>
                                  <w:sz w:val="16"/>
                                  <w:szCs w:val="16"/>
                                </w:rPr>
                                <w:t>生态环境分局牵头，宣传部、财政局、教育局、社会发展局、直管区各街道办事处等部门和单位等参加。主要职责：承办应急指挥部日常工作。负责空气污染综合分析、预测；起草文件，提出预警建议；发布预警信息；协调开展人工增雨作业及各应急组开展应急处置工作；汇总上报应急处置情况，开展应急措施评估；负责相关职能部门履职尽责及行政效能的监督和检查，加强对生活源污染的检查力度等。</w:t>
                              </w:r>
                            </w:p>
                          </w:txbxContent>
                        </wps:txbx>
                        <wps:bodyPr lIns="0" tIns="0" rIns="0" bIns="0" anchor="ctr" anchorCtr="0" upright="1"/>
                      </wps:wsp>
                      <wps:wsp>
                        <wps:cNvPr id="15" name="圆角矩形 15"/>
                        <wps:cNvSpPr/>
                        <wps:spPr>
                          <a:xfrm>
                            <a:off x="2559" y="2138"/>
                            <a:ext cx="2441" cy="3783"/>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220" w:lineRule="exact"/>
                                <w:ind w:firstLine="320" w:firstLineChars="200"/>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产业促进局、生态环境分局牵头，市场监督管理局、现代服务业局、各街道办事处、相关国有企业等各部门和单位等参加。主要职责：负责编制重污染天气应急预案减排清单，指导和检查重点企业落实“一厂一策”；负责对违规排污的企业依法实行严格的处罚等。</w:t>
                              </w:r>
                            </w:p>
                          </w:txbxContent>
                        </wps:txbx>
                        <wps:bodyPr lIns="0" tIns="0" rIns="0" bIns="0" anchor="ctr" anchorCtr="0" upright="1"/>
                      </wps:wsp>
                      <wps:wsp>
                        <wps:cNvPr id="16" name="圆角矩形 16"/>
                        <wps:cNvSpPr/>
                        <wps:spPr>
                          <a:xfrm>
                            <a:off x="5102" y="2189"/>
                            <a:ext cx="2388" cy="376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220" w:lineRule="exact"/>
                                <w:ind w:firstLine="320" w:firstLineChars="200"/>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建设管理局、城市管理局牵头，公安分局、生态环境分局、土储中心、直管区各街道办事处等部门和单位等参加。主要职责：负责对各类道路扬尘、施工扬尘的控制与检查；负责提高洒水清扫保洁力度；负责督促各类施工工地停工，搅拌站、物料码头和渣土消纳场暂停生产；督促有关单位加大对易撒漏物质密闭运输及露天焚烧秸秆等行为的检查力度；负责监督落实区域内堆场覆盖、喷淋等措施。</w:t>
                              </w:r>
                            </w:p>
                          </w:txbxContent>
                        </wps:txbx>
                        <wps:bodyPr lIns="0" tIns="0" rIns="0" bIns="0" anchor="ctr" anchorCtr="0" upright="1"/>
                      </wps:wsp>
                      <wps:wsp>
                        <wps:cNvPr id="17" name="圆角矩形 17"/>
                        <wps:cNvSpPr/>
                        <wps:spPr>
                          <a:xfrm>
                            <a:off x="7585" y="2186"/>
                            <a:ext cx="2393" cy="3741"/>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220" w:lineRule="exact"/>
                                <w:ind w:firstLine="320" w:firstLineChars="200"/>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公安分局牵头，生态环境分局、城市管理局、市场监督管理局、直管区各街道办事处等部门等参加。主要职责：负责开展道路行驶车辆的执法检查；负责强化路检、抽检频次，查处超标车辆和冒黑烟车辆进入禁行区行驶；落实高污染排放车辆应急限行措施，开展公共交通出行的倡议宣传；负责强化交通指挥、保障道路畅通；优化公交运力，保障市民公共交通出行。</w:t>
                              </w:r>
                            </w:p>
                          </w:txbxContent>
                        </wps:txbx>
                        <wps:bodyPr lIns="0" tIns="0" rIns="0" bIns="0" anchor="ctr" anchorCtr="0" upright="1"/>
                      </wps:wsp>
                      <wps:wsp>
                        <wps:cNvPr id="18" name="圆角矩形 18"/>
                        <wps:cNvSpPr/>
                        <wps:spPr>
                          <a:xfrm>
                            <a:off x="10104" y="2186"/>
                            <a:ext cx="2394" cy="370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220" w:lineRule="exact"/>
                                <w:ind w:firstLine="320" w:firstLineChars="200"/>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宣传部牵头，生态环境分局参加。主要职责：组织开展事件进展、应急工作情况权威信息发布，开展新闻宣传报道；收集舆情和社会公众动态，加强媒体和互联网管理；组织媒体和记者采访；拟制并发布新闻通稿；及时澄清不实信息，回应社会关切。</w:t>
                              </w:r>
                            </w:p>
                          </w:txbxContent>
                        </wps:txbx>
                        <wps:bodyPr lIns="0" tIns="0" rIns="0" bIns="0" anchor="ctr" anchorCtr="0" upright="1"/>
                      </wps:wsp>
                      <wps:wsp>
                        <wps:cNvPr id="19" name="圆角矩形 19"/>
                        <wps:cNvSpPr/>
                        <wps:spPr>
                          <a:xfrm>
                            <a:off x="103" y="1619"/>
                            <a:ext cx="2204" cy="34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220" w:lineRule="exact"/>
                                <w:jc w:val="center"/>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综合协调组</w:t>
                              </w:r>
                            </w:p>
                          </w:txbxContent>
                        </wps:txbx>
                        <wps:bodyPr lIns="0" tIns="0" rIns="0" bIns="0" anchor="ctr" anchorCtr="0" upright="1"/>
                      </wps:wsp>
                      <wps:wsp>
                        <wps:cNvPr id="20" name="直接连接符 20"/>
                        <wps:cNvCnPr/>
                        <wps:spPr>
                          <a:xfrm>
                            <a:off x="6318" y="1209"/>
                            <a:ext cx="0" cy="425"/>
                          </a:xfrm>
                          <a:prstGeom prst="line">
                            <a:avLst/>
                          </a:prstGeom>
                          <a:ln w="9525" cap="flat" cmpd="sng">
                            <a:solidFill>
                              <a:srgbClr val="000000"/>
                            </a:solidFill>
                            <a:prstDash val="solid"/>
                            <a:headEnd type="none" w="med" len="med"/>
                            <a:tailEnd type="triangle" w="med" len="med"/>
                          </a:ln>
                          <a:effectLst/>
                        </wps:spPr>
                        <wps:bodyPr/>
                      </wps:wsp>
                      <wps:wsp>
                        <wps:cNvPr id="21" name="直接连接符 21"/>
                        <wps:cNvCnPr/>
                        <wps:spPr>
                          <a:xfrm>
                            <a:off x="1212" y="1373"/>
                            <a:ext cx="10091" cy="12"/>
                          </a:xfrm>
                          <a:prstGeom prst="line">
                            <a:avLst/>
                          </a:prstGeom>
                          <a:ln w="9525" cap="flat" cmpd="sng">
                            <a:solidFill>
                              <a:srgbClr val="000000"/>
                            </a:solidFill>
                            <a:prstDash val="solid"/>
                            <a:headEnd type="none" w="med" len="med"/>
                            <a:tailEnd type="none" w="med" len="med"/>
                          </a:ln>
                          <a:effectLst/>
                        </wps:spPr>
                        <wps:bodyPr/>
                      </wps:wsp>
                      <wps:wsp>
                        <wps:cNvPr id="22" name="直接连接符 22"/>
                        <wps:cNvCnPr/>
                        <wps:spPr>
                          <a:xfrm>
                            <a:off x="1212" y="1385"/>
                            <a:ext cx="0" cy="227"/>
                          </a:xfrm>
                          <a:prstGeom prst="line">
                            <a:avLst/>
                          </a:prstGeom>
                          <a:ln w="9525" cap="flat" cmpd="sng">
                            <a:solidFill>
                              <a:srgbClr val="000000"/>
                            </a:solidFill>
                            <a:prstDash val="solid"/>
                            <a:headEnd type="none" w="med" len="med"/>
                            <a:tailEnd type="triangle" w="med" len="med"/>
                          </a:ln>
                          <a:effectLst/>
                        </wps:spPr>
                        <wps:bodyPr/>
                      </wps:wsp>
                      <wps:wsp>
                        <wps:cNvPr id="23" name="直接连接符 23"/>
                        <wps:cNvCnPr/>
                        <wps:spPr>
                          <a:xfrm>
                            <a:off x="3803" y="1385"/>
                            <a:ext cx="0" cy="227"/>
                          </a:xfrm>
                          <a:prstGeom prst="line">
                            <a:avLst/>
                          </a:prstGeom>
                          <a:ln w="9525" cap="flat" cmpd="sng">
                            <a:solidFill>
                              <a:srgbClr val="000000"/>
                            </a:solidFill>
                            <a:prstDash val="solid"/>
                            <a:headEnd type="none" w="med" len="med"/>
                            <a:tailEnd type="triangle" w="med" len="med"/>
                          </a:ln>
                          <a:effectLst/>
                        </wps:spPr>
                        <wps:bodyPr/>
                      </wps:wsp>
                      <wps:wsp>
                        <wps:cNvPr id="24" name="直接连接符 24"/>
                        <wps:cNvCnPr/>
                        <wps:spPr>
                          <a:xfrm>
                            <a:off x="8791" y="1400"/>
                            <a:ext cx="0" cy="227"/>
                          </a:xfrm>
                          <a:prstGeom prst="line">
                            <a:avLst/>
                          </a:prstGeom>
                          <a:ln w="9525" cap="flat" cmpd="sng">
                            <a:solidFill>
                              <a:srgbClr val="000000"/>
                            </a:solidFill>
                            <a:prstDash val="solid"/>
                            <a:headEnd type="none" w="med" len="med"/>
                            <a:tailEnd type="triangle" w="med" len="med"/>
                          </a:ln>
                          <a:effectLst/>
                        </wps:spPr>
                        <wps:bodyPr/>
                      </wps:wsp>
                      <wps:wsp>
                        <wps:cNvPr id="25" name="直接连接符 25"/>
                        <wps:cNvCnPr/>
                        <wps:spPr>
                          <a:xfrm>
                            <a:off x="11303" y="1385"/>
                            <a:ext cx="0" cy="227"/>
                          </a:xfrm>
                          <a:prstGeom prst="line">
                            <a:avLst/>
                          </a:prstGeom>
                          <a:ln w="9525" cap="flat" cmpd="sng">
                            <a:solidFill>
                              <a:srgbClr val="000000"/>
                            </a:solidFill>
                            <a:prstDash val="solid"/>
                            <a:headEnd type="none" w="med" len="med"/>
                            <a:tailEnd type="triangle" w="med" len="med"/>
                          </a:ln>
                          <a:effectLst/>
                        </wps:spPr>
                        <wps:bodyPr/>
                      </wps:wsp>
                    </wpg:wgp>
                  </a:graphicData>
                </a:graphic>
              </wp:anchor>
            </w:drawing>
          </mc:Choice>
          <mc:Fallback>
            <w:pict>
              <v:group id="_x0000_s1026" o:spid="_x0000_s1026" o:spt="203" style="position:absolute;left:0pt;margin-left:35.95pt;margin-top:9.3pt;height:297.45pt;width:624.9pt;z-index:251659264;mso-width-relative:page;mso-height-relative:page;" coordsize="12498,5949" o:gfxdata="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">
                <o:lock v:ext="edit" aspectratio="f"/>
                <v:line id="_x0000_s1026" o:spid="_x0000_s1026" o:spt="20" style="position:absolute;left:1200;top:1988;height:198;width:0;"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780;top:1976;height:198;width: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306;top:1988;height:198;width: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8778;top:1982;height:198;width: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1293;top:1976;height:198;width: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roundrect id="_x0000_s1026" o:spid="_x0000_s1026" o:spt="2" style="position:absolute;left:1511;top:0;height:1209;width:9609;v-text-anchor:middle;" filled="f" stroked="t" coordsize="21600,21600" arcsize="0.166666666666667" o:gfxdata="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GkN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textbox inset="0mm,0mm,0mm,0mm">
                    <w:txbxContent>
                      <w:p>
                        <w:pPr>
                          <w:snapToGrid w:val="0"/>
                          <w:spacing w:line="340" w:lineRule="exact"/>
                          <w:ind w:firstLine="562" w:firstLineChars="200"/>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两江新区重污染天气应急管理工作指挥部</w:t>
                        </w:r>
                      </w:p>
                      <w:p>
                        <w:pPr>
                          <w:snapToGrid w:val="0"/>
                          <w:spacing w:line="28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 xml:space="preserve">指 挥 长：分管副主任 </w:t>
                        </w:r>
                      </w:p>
                      <w:p>
                        <w:pPr>
                          <w:snapToGrid w:val="0"/>
                          <w:spacing w:line="280" w:lineRule="exact"/>
                          <w:ind w:left="1197" w:hanging="1197" w:hangingChars="497"/>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副指挥长：生态环境分局主要负责人</w:t>
                        </w:r>
                      </w:p>
                      <w:p>
                        <w:pPr>
                          <w:snapToGrid w:val="0"/>
                          <w:spacing w:line="280" w:lineRule="exact"/>
                          <w:ind w:firstLine="480" w:firstLineChars="200"/>
                          <w:rPr>
                            <w:rFonts w:eastAsia="方正书宋_GBK"/>
                            <w:sz w:val="24"/>
                          </w:rPr>
                        </w:pPr>
                      </w:p>
                      <w:p>
                        <w:pPr>
                          <w:snapToGrid w:val="0"/>
                          <w:spacing w:line="280" w:lineRule="exact"/>
                          <w:ind w:left="1193" w:hanging="1192" w:hangingChars="497"/>
                          <w:rPr>
                            <w:rFonts w:eastAsia="方正书宋_GBK"/>
                            <w:sz w:val="24"/>
                          </w:rPr>
                        </w:pPr>
                      </w:p>
                      <w:p>
                        <w:pPr>
                          <w:snapToGrid w:val="0"/>
                          <w:spacing w:line="280" w:lineRule="exact"/>
                          <w:ind w:left="1193" w:hanging="1192" w:hangingChars="497"/>
                          <w:rPr>
                            <w:rFonts w:eastAsia="方正书宋_GBK"/>
                            <w:sz w:val="24"/>
                          </w:rPr>
                        </w:pPr>
                      </w:p>
                    </w:txbxContent>
                  </v:textbox>
                </v:roundrect>
                <v:roundrect id="_x0000_s1026" o:spid="_x0000_s1026" o:spt="2" style="position:absolute;left:2775;top:1626;height:340;width:2040;v-text-anchor:middle;" fillcolor="#FFFFFF" filled="t" stroked="t" coordsize="21600,21600" arcsize="0.166666666666667" o:gfxdata="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crb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spacing w:line="220" w:lineRule="exact"/>
                          <w:jc w:val="center"/>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工业废气应急组</w:t>
                        </w:r>
                      </w:p>
                    </w:txbxContent>
                  </v:textbox>
                </v:roundrect>
                <v:roundrect id="_x0000_s1026" o:spid="_x0000_s1026" o:spt="2" style="position:absolute;left:5272;top:1648;height:340;width:2047;v-text-anchor:middle;" fillcolor="#FFFFFF" filled="t" stroked="t" coordsize="21600,21600" arcsize="0.166666666666667" o:gfxdata="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pM5N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spacing w:line="220" w:lineRule="exact"/>
                          <w:jc w:val="center"/>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城市扬尘应急组</w:t>
                        </w:r>
                      </w:p>
                    </w:txbxContent>
                  </v:textbox>
                </v:roundrect>
                <v:roundrect id="_x0000_s1026" o:spid="_x0000_s1026" o:spt="2" style="position:absolute;left:7764;top:1648;height:340;width:2019;v-text-anchor:middle;" fillcolor="#FFFFFF" filled="t" stroked="t" coordsize="21600,21600" arcsize="0.166666666666667" o:gfxdata="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kGnQ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spacing w:line="220" w:lineRule="exact"/>
                          <w:jc w:val="center"/>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机动车排气应急组</w:t>
                        </w:r>
                      </w:p>
                    </w:txbxContent>
                  </v:textbox>
                </v:roundrect>
                <v:roundrect id="_x0000_s1026" o:spid="_x0000_s1026" o:spt="2" style="position:absolute;left:10268;top:1619;height:340;width:2089;v-text-anchor:middle;" fillcolor="#FFFFFF" filled="t" stroked="t" coordsize="21600,21600" arcsize="0.166666666666667" o:gfxdata="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0C2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spacing w:line="220" w:lineRule="exact"/>
                          <w:jc w:val="center"/>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宣传引导组</w:t>
                        </w:r>
                      </w:p>
                    </w:txbxContent>
                  </v:textbox>
                </v:roundrect>
                <v:roundrect id="_x0000_s1026" o:spid="_x0000_s1026" o:spt="2" style="position:absolute;left:0;top:2125;height:3764;width:2425;v-text-anchor:middle;" fillcolor="#FFFFFF" filled="t" stroked="t" coordsize="21600,21600" arcsize="0.166666666666667" o:gfxdata="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Sar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spacing w:line="220" w:lineRule="exact"/>
                          <w:ind w:firstLine="320" w:firstLineChars="200"/>
                          <w:rPr>
                            <w:rFonts w:ascii="方正书宋_GBK" w:hAnsi="宋体" w:eastAsia="方正书宋_GBK"/>
                            <w:sz w:val="16"/>
                            <w:szCs w:val="16"/>
                          </w:rPr>
                        </w:pPr>
                        <w:r>
                          <w:rPr>
                            <w:rFonts w:hint="eastAsia" w:ascii="方正仿宋_GBK" w:hAnsi="方正仿宋_GBK" w:eastAsia="方正仿宋_GBK" w:cs="方正仿宋_GBK"/>
                            <w:sz w:val="16"/>
                            <w:szCs w:val="16"/>
                          </w:rPr>
                          <w:t>生态环境分局牵头，宣传部、财政局、教育局、社会发展局、直管区各街道办事处等部门和单位等参加。主要职责：承办应急指挥部日常工作。负责空气污染综合分析、预测；起草文件，提出预警建议；发布预警信息；协调开展人工增雨作业及各应急组开展应急处置工作；汇总上报应急处置情况，开展应急措施评估；负责相关职能部门履职尽责及行政效能的监督和检查，加强对生活源污染的检查力度等。</w:t>
                        </w:r>
                      </w:p>
                    </w:txbxContent>
                  </v:textbox>
                </v:roundrect>
                <v:roundrect id="_x0000_s1026" o:spid="_x0000_s1026" o:spt="2" style="position:absolute;left:2559;top:2138;height:3783;width:2441;v-text-anchor:middle;" fillcolor="#FFFFFF" filled="t" stroked="t" coordsize="21600,21600" arcsize="0.166666666666667" o:gfxdata="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g/N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spacing w:line="220" w:lineRule="exact"/>
                          <w:ind w:firstLine="320" w:firstLineChars="200"/>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产业促进局、生态环境分局牵头，市场监督管理局、现代服务业局、各街道办事处、相关国有企业等各部门和单位等参加。主要职责：负责编制重污染天气应急预案减排清单，指导和检查重点企业落实“一厂一策”；负责对违规排污的企业依法实行严格的处罚等。</w:t>
                        </w:r>
                      </w:p>
                    </w:txbxContent>
                  </v:textbox>
                </v:roundrect>
                <v:roundrect id="_x0000_s1026" o:spid="_x0000_s1026" o:spt="2" style="position:absolute;left:5102;top:2189;height:3760;width:2388;v-text-anchor:middle;" fillcolor="#FFFFFF" filled="t" stroked="t" coordsize="21600,21600" arcsize="0.166666666666667" o:gfxdata="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XqhQ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spacing w:line="220" w:lineRule="exact"/>
                          <w:ind w:firstLine="320" w:firstLineChars="200"/>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建设管理局、城市管理局牵头，公安分局、生态环境分局、土储中心、直管区各街道办事处等部门和单位等参加。主要职责：负责对各类道路扬尘、施工扬尘的控制与检查；负责提高洒水清扫保洁力度；负责督促各类施工工地停工，搅拌站、物料码头和渣土消纳场暂停生产；督促有关单位加大对易撒漏物质密闭运输及露天焚烧秸秆等行为的检查力度；负责监督落实区域内堆场覆盖、喷淋等措施。</w:t>
                        </w:r>
                      </w:p>
                    </w:txbxContent>
                  </v:textbox>
                </v:roundrect>
                <v:roundrect id="_x0000_s1026" o:spid="_x0000_s1026" o:spt="2" style="position:absolute;left:7585;top:2186;height:3741;width:2393;v-text-anchor:middle;" fillcolor="#FFFFFF" filled="t" stroked="t" coordsize="21600,21600" arcsize="0.166666666666667" o:gfxdata="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YE2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spacing w:line="220" w:lineRule="exact"/>
                          <w:ind w:firstLine="320" w:firstLineChars="200"/>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公安分局牵头，生态环境分局、城市管理局、市场监督管理局、直管区各街道办事处等部门等参加。主要职责：负责开展道路行驶车辆的执法检查；负责强化路检、抽检频次，查处超标车辆和冒黑烟车辆进入禁行区行驶；落实高污染排放车辆应急限行措施，开展公共交通出行的倡议宣传；负责强化交通指挥、保障道路畅通；优化公交运力，保障市民公共交通出行。</w:t>
                        </w:r>
                      </w:p>
                    </w:txbxContent>
                  </v:textbox>
                </v:roundrect>
                <v:roundrect id="_x0000_s1026" o:spid="_x0000_s1026" o:spt="2" style="position:absolute;left:10104;top:2186;height:3705;width:2394;v-text-anchor:middle;" fillcolor="#FFFFFF" filled="t" stroked="t" coordsize="21600,21600" arcsize="0.166666666666667" o:gfxdata="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mQq7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spacing w:line="220" w:lineRule="exact"/>
                          <w:ind w:firstLine="320" w:firstLineChars="200"/>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宣传部牵头，生态环境分局参加。主要职责：组织开展事件进展、应急工作情况权威信息发布，开展新闻宣传报道；收集舆情和社会公众动态，加强媒体和互联网管理；组织媒体和记者采访；拟制并发布新闻通稿；及时澄清不实信息，回应社会关切。</w:t>
                        </w:r>
                      </w:p>
                    </w:txbxContent>
                  </v:textbox>
                </v:roundrect>
                <v:roundrect id="_x0000_s1026" o:spid="_x0000_s1026" o:spt="2" style="position:absolute;left:103;top:1619;height:340;width:2204;v-text-anchor:middle;" fillcolor="#FFFFFF" filled="t" stroked="t" coordsize="21600,21600" arcsize="0.166666666666667" o:gfxdata="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U1M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spacing w:line="220" w:lineRule="exact"/>
                          <w:jc w:val="center"/>
                          <w:rPr>
                            <w:rFonts w:ascii="方正仿宋_GBK" w:hAnsi="方正仿宋_GBK" w:eastAsia="方正仿宋_GBK" w:cs="方正仿宋_GBK"/>
                            <w:sz w:val="16"/>
                            <w:szCs w:val="16"/>
                          </w:rPr>
                        </w:pPr>
                        <w:r>
                          <w:rPr>
                            <w:rFonts w:hint="eastAsia" w:ascii="方正仿宋_GBK" w:hAnsi="方正仿宋_GBK" w:eastAsia="方正仿宋_GBK" w:cs="方正仿宋_GBK"/>
                            <w:sz w:val="16"/>
                            <w:szCs w:val="16"/>
                          </w:rPr>
                          <w:t>综合协调组</w:t>
                        </w:r>
                      </w:p>
                    </w:txbxContent>
                  </v:textbox>
                </v:roundrect>
                <v:line id="_x0000_s1026" o:spid="_x0000_s1026" o:spt="20" style="position:absolute;left:6318;top:1209;height:425;width:0;" filled="f" stroked="t" coordsize="21600,21600" o:gfxdata="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FNha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1212;top:1373;height:12;width:10091;"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212;top:1385;height:227;width:0;" filled="f" stroked="t" coordsize="21600,21600" o:gfxdata="UEsDBAoAAAAAAIdO4kAAAAAAAAAAAAAAAAAEAAAAZHJzL1BLAwQUAAAACACHTuJAOFsN+r8AAADb&#10;AAAADwAAAGRycy9kb3ducmV2LnhtbEWPzWrDMBCE74G8g9hAb4lsH4pxouRQcAg4bckPpbkt1sY2&#10;tVZGUhL37atCocdhZr5hVpvR9OJOzneWFaSLBARxbXXHjYLzqZznIHxA1thbJgXf5GGznk5WWGj7&#10;4APdj6EREcK+QAVtCEMhpa9bMugXdiCO3tU6gyFK10jt8BHhppdZkjxL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bD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803;top:1385;height:227;width:0;" filled="f" stroked="t" coordsize="21600,21600" o:gfxdata="UEsDBAoAAAAAAIdO4kAAAAAAAAAAAAAAAAAEAAAAZHJzL1BLAwQUAAAACACHTuJAVxeoYb8AAADb&#10;AAAADwAAAGRycy9kb3ducmV2LnhtbEWPT2vCQBTE7wW/w/IEb3UTh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XqG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791;top:1400;height:227;width:0;"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1303;top:1385;height:227;width:0;"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spacing w:line="560" w:lineRule="exact"/>
        <w:ind w:firstLine="640" w:firstLineChars="200"/>
        <w:jc w:val="center"/>
        <w:rPr>
          <w:rFonts w:eastAsia="方正黑体_GBK"/>
          <w:sz w:val="32"/>
        </w:rPr>
      </w:pPr>
    </w:p>
    <w:p>
      <w:pPr>
        <w:tabs>
          <w:tab w:val="center" w:pos="6292"/>
        </w:tabs>
        <w:spacing w:line="560" w:lineRule="exact"/>
        <w:ind w:firstLine="640" w:firstLineChars="200"/>
        <w:jc w:val="center"/>
        <w:rPr>
          <w:rFonts w:eastAsia="方正黑体_GBK"/>
          <w:sz w:val="32"/>
        </w:rPr>
      </w:pPr>
    </w:p>
    <w:p>
      <w:pPr>
        <w:spacing w:line="560" w:lineRule="exact"/>
        <w:ind w:firstLine="640" w:firstLineChars="200"/>
        <w:jc w:val="center"/>
        <w:rPr>
          <w:rFonts w:eastAsia="方正黑体_GBK"/>
          <w:sz w:val="32"/>
        </w:rPr>
      </w:pPr>
    </w:p>
    <w:p>
      <w:pPr>
        <w:spacing w:line="560" w:lineRule="exact"/>
        <w:ind w:firstLine="640" w:firstLineChars="200"/>
        <w:jc w:val="center"/>
        <w:rPr>
          <w:rFonts w:eastAsia="方正黑体_GBK"/>
          <w:sz w:val="32"/>
        </w:rPr>
      </w:pPr>
    </w:p>
    <w:p>
      <w:pPr>
        <w:spacing w:line="560" w:lineRule="exact"/>
        <w:ind w:firstLine="640" w:firstLineChars="200"/>
        <w:jc w:val="center"/>
        <w:rPr>
          <w:rFonts w:eastAsia="方正黑体_GBK"/>
          <w:sz w:val="32"/>
        </w:rPr>
      </w:pPr>
    </w:p>
    <w:p>
      <w:pPr>
        <w:spacing w:line="560" w:lineRule="exact"/>
        <w:ind w:firstLine="640" w:firstLineChars="200"/>
        <w:jc w:val="center"/>
        <w:rPr>
          <w:rFonts w:eastAsia="方正黑体_GBK"/>
          <w:sz w:val="32"/>
        </w:rPr>
      </w:pPr>
    </w:p>
    <w:p>
      <w:pPr>
        <w:spacing w:line="560" w:lineRule="exact"/>
        <w:ind w:firstLine="640" w:firstLineChars="200"/>
        <w:jc w:val="center"/>
        <w:rPr>
          <w:rFonts w:eastAsia="方正黑体_GBK"/>
          <w:sz w:val="32"/>
        </w:rPr>
      </w:pPr>
    </w:p>
    <w:p>
      <w:pPr>
        <w:spacing w:line="560" w:lineRule="exact"/>
        <w:ind w:firstLine="640" w:firstLineChars="200"/>
        <w:jc w:val="center"/>
        <w:rPr>
          <w:rFonts w:eastAsia="方正黑体_GBK"/>
          <w:sz w:val="32"/>
        </w:rPr>
      </w:pPr>
    </w:p>
    <w:p>
      <w:pPr>
        <w:snapToGrid w:val="0"/>
        <w:spacing w:line="560" w:lineRule="exact"/>
        <w:ind w:firstLine="640" w:firstLineChars="200"/>
        <w:jc w:val="center"/>
        <w:rPr>
          <w:rFonts w:eastAsia="方正黑体_GBK"/>
          <w:sz w:val="32"/>
        </w:rPr>
      </w:pPr>
    </w:p>
    <w:p>
      <w:pPr>
        <w:adjustRightInd w:val="0"/>
        <w:snapToGrid w:val="0"/>
        <w:spacing w:after="65" w:afterLines="15" w:line="560" w:lineRule="exact"/>
        <w:ind w:firstLine="360" w:firstLineChars="200"/>
        <w:jc w:val="center"/>
        <w:rPr>
          <w:rFonts w:eastAsia="方正书宋_GBK"/>
          <w:sz w:val="18"/>
          <w:szCs w:val="18"/>
        </w:rPr>
      </w:pPr>
    </w:p>
    <w:p>
      <w:pPr>
        <w:spacing w:before="150" w:after="150" w:line="560" w:lineRule="exact"/>
        <w:jc w:val="center"/>
        <w:rPr>
          <w:rFonts w:eastAsia="方正仿宋_GBK"/>
          <w:sz w:val="32"/>
          <w:szCs w:val="32"/>
        </w:rPr>
        <w:sectPr>
          <w:pgSz w:w="16838" w:h="11906" w:orient="landscape"/>
          <w:pgMar w:top="1800" w:right="1440" w:bottom="1800" w:left="1440" w:header="851" w:footer="992" w:gutter="0"/>
          <w:cols w:space="720" w:num="1"/>
          <w:docGrid w:type="lines" w:linePitch="435" w:charSpace="0"/>
        </w:sectPr>
      </w:pPr>
      <w:bookmarkStart w:id="54" w:name="_Toc24394"/>
      <w:bookmarkStart w:id="55" w:name="_Toc8003"/>
      <w:bookmarkStart w:id="56" w:name="_Toc14987"/>
    </w:p>
    <w:p>
      <w:pPr>
        <w:spacing w:before="150" w:after="150" w:line="560" w:lineRule="exact"/>
        <w:jc w:val="center"/>
        <w:rPr>
          <w:rFonts w:eastAsia="方正仿宋_GBK"/>
          <w:sz w:val="24"/>
          <w:lang w:bidi="ar"/>
        </w:rPr>
      </w:pPr>
      <w:r>
        <w:rPr>
          <w:rFonts w:hint="eastAsia"/>
          <w:b/>
          <w:sz w:val="32"/>
          <w:szCs w:val="32"/>
        </w:rPr>
        <w:t>重庆两江新区</w:t>
      </w:r>
      <w:r>
        <w:rPr>
          <w:rFonts w:eastAsia="方正仿宋_GBK"/>
          <w:b/>
          <w:sz w:val="32"/>
          <w:szCs w:val="32"/>
        </w:rPr>
        <w:t>重污染天气应急指挥部成员单位联系电话表</w:t>
      </w:r>
      <w:bookmarkEnd w:id="54"/>
      <w:bookmarkEnd w:id="55"/>
      <w:bookmarkEnd w:id="56"/>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63"/>
        <w:gridCol w:w="4341"/>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hint="eastAsia" w:eastAsia="方正小标宋_GBK"/>
                <w:spacing w:val="-20"/>
                <w:sz w:val="24"/>
              </w:rPr>
              <w:t>序号</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hint="eastAsia" w:eastAsia="方正小标宋_GBK"/>
                <w:spacing w:val="-20"/>
                <w:sz w:val="24"/>
              </w:rPr>
              <w:t>单    位</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hint="eastAsia" w:eastAsia="方正小标宋_GBK"/>
                <w:spacing w:val="-2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030" w:type="pct"/>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hint="eastAsia" w:eastAsia="方正小标宋_GBK"/>
                <w:spacing w:val="-20"/>
                <w:sz w:val="24"/>
              </w:rPr>
              <w:t>一、区级</w:t>
            </w:r>
            <w:r>
              <w:rPr>
                <w:rFonts w:hint="eastAsia" w:eastAsia="方正黑体_GBK"/>
                <w:sz w:val="24"/>
              </w:rPr>
              <w:t>相关职能部门</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00" w:firstLineChars="200"/>
              <w:rPr>
                <w:rFonts w:eastAsia="方正小标宋_GBK"/>
                <w:spacing w:val="-2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1</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宣传部</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67573989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2</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产业促进局</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67303315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3</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现代服务业局</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仿宋_GBK"/>
                <w:spacing w:val="-20"/>
                <w:sz w:val="24"/>
              </w:rPr>
            </w:pPr>
            <w:r>
              <w:rPr>
                <w:rFonts w:eastAsia="方正仿宋_GBK"/>
                <w:spacing w:val="-20"/>
                <w:sz w:val="24"/>
              </w:rPr>
              <w:t>67573918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4</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财政局</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67463682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5</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建设管理局</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67573964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6</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城市管理局</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67463362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7</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社会发展局</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67463009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8</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教育局</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67393545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9</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市场监督管理局</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67577286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10</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土储中心</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139 8349 8418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030" w:type="pct"/>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hint="eastAsia" w:eastAsia="方正小标宋_GBK"/>
                <w:spacing w:val="-20"/>
                <w:sz w:val="24"/>
              </w:rPr>
              <w:t>二、驻区机构</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00" w:firstLineChars="200"/>
              <w:rPr>
                <w:rFonts w:eastAsia="方正小标宋_GBK"/>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1</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公安分局</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63753966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rPr>
            </w:pPr>
            <w:r>
              <w:rPr>
                <w:rFonts w:eastAsia="方正小标宋_GBK"/>
                <w:spacing w:val="-20"/>
                <w:sz w:val="24"/>
              </w:rPr>
              <w:t>2</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rPr>
            </w:pPr>
            <w:r>
              <w:rPr>
                <w:rFonts w:hint="eastAsia" w:ascii="方正仿宋_GBK" w:eastAsia="方正仿宋_GBK"/>
                <w:sz w:val="24"/>
              </w:rPr>
              <w:t>生态环境分局</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63023050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030" w:type="pct"/>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hint="eastAsia" w:eastAsia="方正小标宋_GBK"/>
                <w:spacing w:val="-20"/>
                <w:sz w:val="24"/>
              </w:rPr>
              <w:t>三、街道及</w:t>
            </w:r>
            <w:r>
              <w:rPr>
                <w:rFonts w:hint="eastAsia" w:eastAsia="方正黑体_GBK"/>
                <w:sz w:val="24"/>
              </w:rPr>
              <w:t>相关单位</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00" w:firstLineChars="200"/>
              <w:rPr>
                <w:rFonts w:eastAsia="方正小标宋_GBK"/>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1</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pacing w:val="-20"/>
                <w:sz w:val="24"/>
                <w:szCs w:val="32"/>
              </w:rPr>
            </w:pPr>
            <w:r>
              <w:rPr>
                <w:rFonts w:hint="eastAsia" w:ascii="方正仿宋_GBK" w:eastAsia="方正仿宋_GBK"/>
                <w:sz w:val="24"/>
              </w:rPr>
              <w:t>人和街道办事处</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z w:val="24"/>
              </w:rPr>
              <w:t>67645293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2</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pacing w:val="-20"/>
                <w:sz w:val="24"/>
                <w:szCs w:val="32"/>
              </w:rPr>
            </w:pPr>
            <w:r>
              <w:rPr>
                <w:rFonts w:hint="eastAsia" w:ascii="方正仿宋_GBK" w:eastAsia="方正仿宋_GBK"/>
                <w:sz w:val="24"/>
              </w:rPr>
              <w:t>天宫殿街道办事处</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67646101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3</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pacing w:val="-20"/>
                <w:sz w:val="24"/>
                <w:szCs w:val="32"/>
              </w:rPr>
            </w:pPr>
            <w:r>
              <w:rPr>
                <w:rFonts w:hint="eastAsia" w:ascii="方正仿宋_GBK" w:eastAsia="方正仿宋_GBK"/>
                <w:sz w:val="24"/>
              </w:rPr>
              <w:t>大竹林街道办事处</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63053660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4</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pacing w:val="-20"/>
                <w:sz w:val="24"/>
                <w:szCs w:val="32"/>
              </w:rPr>
            </w:pPr>
            <w:r>
              <w:rPr>
                <w:rFonts w:hint="eastAsia" w:ascii="方正仿宋_GBK" w:eastAsia="方正仿宋_GBK"/>
                <w:sz w:val="24"/>
              </w:rPr>
              <w:t>康美街道办事处</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63085535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5</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pacing w:val="-20"/>
                <w:sz w:val="24"/>
                <w:szCs w:val="32"/>
              </w:rPr>
            </w:pPr>
            <w:r>
              <w:rPr>
                <w:rFonts w:hint="eastAsia" w:ascii="方正仿宋_GBK" w:eastAsia="方正仿宋_GBK"/>
                <w:sz w:val="24"/>
              </w:rPr>
              <w:t>鸳鸯街道办事处</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89136969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6</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pacing w:val="-20"/>
                <w:sz w:val="24"/>
                <w:szCs w:val="32"/>
              </w:rPr>
            </w:pPr>
            <w:r>
              <w:rPr>
                <w:rFonts w:hint="eastAsia" w:ascii="方正仿宋_GBK" w:eastAsia="方正仿宋_GBK"/>
                <w:sz w:val="24"/>
              </w:rPr>
              <w:t>礼嘉街道办事处</w:t>
            </w:r>
          </w:p>
        </w:tc>
        <w:tc>
          <w:tcPr>
            <w:tcW w:w="19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spacing w:val="-20"/>
                <w:sz w:val="24"/>
              </w:rPr>
            </w:pPr>
            <w:r>
              <w:rPr>
                <w:rFonts w:eastAsia="方正仿宋_GBK"/>
                <w:spacing w:val="-20"/>
                <w:sz w:val="24"/>
              </w:rPr>
              <w:t>67390112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7</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pacing w:val="-20"/>
                <w:sz w:val="24"/>
                <w:szCs w:val="32"/>
              </w:rPr>
            </w:pPr>
            <w:r>
              <w:rPr>
                <w:rFonts w:hint="eastAsia" w:ascii="方正仿宋_GBK" w:eastAsia="方正仿宋_GBK"/>
                <w:sz w:val="24"/>
              </w:rPr>
              <w:t>翠云街道办事处</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仿宋_GBK"/>
                <w:spacing w:val="-20"/>
                <w:sz w:val="24"/>
              </w:rPr>
            </w:pPr>
            <w:r>
              <w:rPr>
                <w:rFonts w:eastAsia="方正仿宋_GBK"/>
                <w:spacing w:val="-20"/>
                <w:sz w:val="24"/>
              </w:rPr>
              <w:t>67880883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szCs w:val="32"/>
              </w:rPr>
            </w:pPr>
            <w:r>
              <w:rPr>
                <w:rFonts w:eastAsia="方正小标宋_GBK"/>
                <w:spacing w:val="-20"/>
                <w:sz w:val="24"/>
              </w:rPr>
              <w:t>8</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pacing w:val="-20"/>
                <w:sz w:val="24"/>
                <w:szCs w:val="32"/>
              </w:rPr>
            </w:pPr>
            <w:r>
              <w:rPr>
                <w:rFonts w:hint="eastAsia" w:ascii="方正仿宋_GBK" w:eastAsia="方正仿宋_GBK"/>
                <w:sz w:val="24"/>
              </w:rPr>
              <w:t>金山街道办事处</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仿宋_GBK"/>
                <w:spacing w:val="-20"/>
                <w:sz w:val="24"/>
              </w:rPr>
            </w:pPr>
            <w:r>
              <w:rPr>
                <w:rFonts w:eastAsia="方正仿宋_GBK"/>
                <w:spacing w:val="-20"/>
                <w:sz w:val="24"/>
              </w:rPr>
              <w:t>63569038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rPr>
            </w:pPr>
            <w:r>
              <w:rPr>
                <w:rFonts w:hint="eastAsia" w:eastAsia="方正小标宋_GBK"/>
                <w:spacing w:val="-20"/>
                <w:sz w:val="24"/>
              </w:rPr>
              <w:t>9</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szCs w:val="32"/>
              </w:rPr>
            </w:pPr>
            <w:r>
              <w:rPr>
                <w:rFonts w:hint="eastAsia" w:ascii="方正仿宋_GBK" w:eastAsia="方正仿宋_GBK"/>
                <w:sz w:val="24"/>
                <w:szCs w:val="32"/>
              </w:rPr>
              <w:t>保税港区集团</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仿宋_GBK"/>
                <w:spacing w:val="-20"/>
                <w:sz w:val="24"/>
              </w:rPr>
            </w:pPr>
            <w:r>
              <w:rPr>
                <w:rFonts w:eastAsia="方正仿宋_GBK"/>
                <w:spacing w:val="-20"/>
                <w:sz w:val="24"/>
              </w:rPr>
              <w:t>67007928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rPr>
            </w:pPr>
            <w:r>
              <w:rPr>
                <w:rFonts w:hint="eastAsia" w:eastAsia="方正小标宋_GBK"/>
                <w:spacing w:val="-20"/>
                <w:sz w:val="24"/>
              </w:rPr>
              <w:t>10</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szCs w:val="32"/>
              </w:rPr>
            </w:pPr>
            <w:r>
              <w:rPr>
                <w:rFonts w:hint="eastAsia" w:ascii="方正仿宋_GBK" w:eastAsia="方正仿宋_GBK"/>
                <w:sz w:val="24"/>
                <w:szCs w:val="32"/>
              </w:rPr>
              <w:t>港务物流集团</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仿宋_GBK"/>
                <w:spacing w:val="-20"/>
                <w:sz w:val="24"/>
              </w:rPr>
            </w:pPr>
            <w:r>
              <w:rPr>
                <w:rFonts w:eastAsia="方正仿宋_GBK"/>
                <w:spacing w:val="-20"/>
                <w:sz w:val="24"/>
              </w:rPr>
              <w:t>63100263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rPr>
            </w:pPr>
            <w:r>
              <w:rPr>
                <w:rFonts w:hint="eastAsia" w:eastAsia="方正小标宋_GBK"/>
                <w:spacing w:val="-20"/>
                <w:sz w:val="24"/>
              </w:rPr>
              <w:t>11</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szCs w:val="32"/>
              </w:rPr>
            </w:pPr>
            <w:r>
              <w:rPr>
                <w:rFonts w:hint="eastAsia" w:ascii="方正仿宋_GBK" w:eastAsia="方正仿宋_GBK"/>
                <w:sz w:val="24"/>
                <w:szCs w:val="32"/>
              </w:rPr>
              <w:t>悦来投资集团</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仿宋_GBK"/>
                <w:spacing w:val="-20"/>
                <w:sz w:val="24"/>
              </w:rPr>
            </w:pPr>
            <w:r>
              <w:rPr>
                <w:rFonts w:eastAsia="方正仿宋_GBK"/>
                <w:spacing w:val="-20"/>
                <w:sz w:val="24"/>
              </w:rPr>
              <w:t>63467026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rPr>
            </w:pPr>
            <w:r>
              <w:rPr>
                <w:rFonts w:hint="eastAsia" w:eastAsia="方正小标宋_GBK"/>
                <w:spacing w:val="-20"/>
                <w:sz w:val="24"/>
              </w:rPr>
              <w:t>12</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szCs w:val="32"/>
              </w:rPr>
            </w:pPr>
            <w:r>
              <w:rPr>
                <w:rFonts w:hint="eastAsia" w:ascii="方正仿宋_GBK" w:eastAsia="方正仿宋_GBK"/>
                <w:sz w:val="24"/>
                <w:szCs w:val="32"/>
              </w:rPr>
              <w:t>鱼复新城公司</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仿宋_GBK"/>
                <w:spacing w:val="-20"/>
                <w:sz w:val="24"/>
              </w:rPr>
            </w:pPr>
            <w:r>
              <w:rPr>
                <w:rFonts w:eastAsia="方正仿宋_GBK"/>
                <w:spacing w:val="-20"/>
                <w:sz w:val="24"/>
              </w:rPr>
              <w:t>67581111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rPr>
            </w:pPr>
            <w:r>
              <w:rPr>
                <w:rFonts w:hint="eastAsia" w:eastAsia="方正小标宋_GBK"/>
                <w:spacing w:val="-20"/>
                <w:sz w:val="24"/>
              </w:rPr>
              <w:t>13</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szCs w:val="32"/>
              </w:rPr>
            </w:pPr>
            <w:r>
              <w:rPr>
                <w:rFonts w:hint="eastAsia" w:ascii="方正仿宋_GBK" w:eastAsia="方正仿宋_GBK"/>
                <w:sz w:val="24"/>
                <w:szCs w:val="32"/>
              </w:rPr>
              <w:t>龙兴新城公司</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仿宋_GBK"/>
                <w:spacing w:val="-20"/>
                <w:sz w:val="24"/>
              </w:rPr>
            </w:pPr>
            <w:r>
              <w:rPr>
                <w:rFonts w:eastAsia="方正仿宋_GBK"/>
                <w:spacing w:val="-20"/>
                <w:sz w:val="24"/>
              </w:rPr>
              <w:t>67340756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rPr>
            </w:pPr>
            <w:r>
              <w:rPr>
                <w:rFonts w:hint="eastAsia" w:eastAsia="方正小标宋_GBK"/>
                <w:spacing w:val="-20"/>
                <w:sz w:val="24"/>
              </w:rPr>
              <w:t>14</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szCs w:val="32"/>
              </w:rPr>
            </w:pPr>
            <w:r>
              <w:rPr>
                <w:rFonts w:hint="eastAsia" w:ascii="方正仿宋_GBK" w:eastAsia="方正仿宋_GBK"/>
                <w:sz w:val="24"/>
                <w:szCs w:val="32"/>
              </w:rPr>
              <w:t>水土新城公司</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仿宋_GBK"/>
                <w:spacing w:val="-20"/>
                <w:sz w:val="24"/>
              </w:rPr>
            </w:pPr>
            <w:r>
              <w:rPr>
                <w:rFonts w:eastAsia="微软雅黑"/>
                <w:color w:val="171A1D"/>
                <w:sz w:val="24"/>
                <w:shd w:val="clear" w:color="auto" w:fill="FFFFFF"/>
              </w:rPr>
              <w:t>15823616476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3"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小标宋_GBK"/>
                <w:spacing w:val="-20"/>
                <w:sz w:val="24"/>
              </w:rPr>
            </w:pPr>
            <w:r>
              <w:rPr>
                <w:rFonts w:hint="eastAsia" w:eastAsia="方正小标宋_GBK"/>
                <w:spacing w:val="-20"/>
                <w:sz w:val="24"/>
              </w:rPr>
              <w:t>15</w:t>
            </w:r>
          </w:p>
        </w:tc>
        <w:tc>
          <w:tcPr>
            <w:tcW w:w="257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eastAsia="方正仿宋_GBK"/>
                <w:sz w:val="24"/>
                <w:szCs w:val="32"/>
              </w:rPr>
            </w:pPr>
            <w:r>
              <w:rPr>
                <w:rFonts w:hint="eastAsia" w:ascii="方正仿宋_GBK" w:eastAsia="方正仿宋_GBK"/>
                <w:sz w:val="24"/>
                <w:szCs w:val="32"/>
              </w:rPr>
              <w:t>协同创新公司</w:t>
            </w:r>
          </w:p>
        </w:tc>
        <w:tc>
          <w:tcPr>
            <w:tcW w:w="196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仿宋_GBK"/>
                <w:spacing w:val="-20"/>
                <w:sz w:val="24"/>
              </w:rPr>
            </w:pPr>
            <w:r>
              <w:rPr>
                <w:rFonts w:eastAsia="方正仿宋_GBK"/>
                <w:spacing w:val="-20"/>
                <w:sz w:val="24"/>
              </w:rPr>
              <w:t>67587300</w:t>
            </w:r>
          </w:p>
        </w:tc>
      </w:tr>
    </w:tbl>
    <w:p>
      <w:pPr>
        <w:snapToGrid w:val="0"/>
        <w:spacing w:line="560" w:lineRule="exact"/>
        <w:rPr>
          <w:sz w:val="36"/>
          <w:szCs w:val="36"/>
        </w:rPr>
        <w:sectPr>
          <w:pgSz w:w="11906" w:h="16838"/>
          <w:pgMar w:top="1440" w:right="1800" w:bottom="1440" w:left="1800" w:header="851" w:footer="992" w:gutter="0"/>
          <w:cols w:space="720" w:num="1"/>
          <w:docGrid w:type="lines" w:linePitch="435" w:charSpace="0"/>
        </w:sectPr>
      </w:pPr>
    </w:p>
    <w:p>
      <w:pPr>
        <w:keepNext/>
        <w:keepLines/>
        <w:snapToGrid w:val="0"/>
        <w:spacing w:line="560" w:lineRule="exact"/>
        <w:outlineLvl w:val="0"/>
        <w:rPr>
          <w:rFonts w:eastAsia="方正黑体_GBK"/>
          <w:b/>
          <w:bCs/>
          <w:kern w:val="44"/>
          <w:sz w:val="36"/>
          <w:szCs w:val="36"/>
        </w:rPr>
      </w:pPr>
      <w:bookmarkStart w:id="57" w:name="_Toc18604"/>
      <w:r>
        <w:rPr>
          <w:rFonts w:hint="eastAsia" w:eastAsia="方正黑体_GBK"/>
          <w:b/>
          <w:bCs/>
          <w:kern w:val="44"/>
          <w:sz w:val="36"/>
          <w:szCs w:val="36"/>
        </w:rPr>
        <w:t>附件2</w:t>
      </w:r>
      <w:bookmarkEnd w:id="57"/>
    </w:p>
    <w:p>
      <w:pPr>
        <w:spacing w:line="560" w:lineRule="exact"/>
        <w:jc w:val="center"/>
        <w:rPr>
          <w:rFonts w:eastAsia="方正仿宋_GBK"/>
          <w:sz w:val="32"/>
          <w:szCs w:val="32"/>
        </w:rPr>
      </w:pPr>
      <w:r>
        <w:rPr>
          <w:rFonts w:hint="eastAsia" w:eastAsia="方正仿宋_GBK"/>
          <w:b/>
          <w:bCs/>
          <w:sz w:val="36"/>
          <w:szCs w:val="28"/>
        </w:rPr>
        <w:t>重庆两江新区重污染天气应急响应流程图</w:t>
      </w:r>
    </w:p>
    <w:p>
      <w:pPr>
        <w:spacing w:line="560" w:lineRule="exact"/>
        <w:ind w:firstLine="640" w:firstLineChars="200"/>
        <w:rPr>
          <w:rFonts w:eastAsia="方正仿宋_GBK"/>
          <w:sz w:val="32"/>
        </w:rPr>
      </w:pPr>
    </w:p>
    <w:p>
      <w:pPr>
        <w:jc w:val="center"/>
        <w:rPr>
          <w:rFonts w:eastAsia="方正仿宋_GBK"/>
          <w:sz w:val="32"/>
          <w:szCs w:val="32"/>
        </w:rPr>
      </w:pPr>
      <w:r>
        <w:rPr>
          <w:rFonts w:hint="eastAsia" w:eastAsia="方正仿宋_GBK"/>
          <w:sz w:val="32"/>
          <w:szCs w:val="32"/>
        </w:rPr>
        <w:drawing>
          <wp:inline distT="0" distB="0" distL="114300" distR="114300">
            <wp:extent cx="5600700" cy="4319270"/>
            <wp:effectExtent l="0" t="0" r="0" b="5080"/>
            <wp:docPr id="1" name="图片 2" descr="168429463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84294630451"/>
                    <pic:cNvPicPr>
                      <a:picLocks noChangeAspect="1"/>
                    </pic:cNvPicPr>
                  </pic:nvPicPr>
                  <pic:blipFill>
                    <a:blip r:embed="rId9"/>
                    <a:stretch>
                      <a:fillRect/>
                    </a:stretch>
                  </pic:blipFill>
                  <pic:spPr>
                    <a:xfrm>
                      <a:off x="0" y="0"/>
                      <a:ext cx="5600700" cy="4319270"/>
                    </a:xfrm>
                    <a:prstGeom prst="rect">
                      <a:avLst/>
                    </a:prstGeom>
                    <a:noFill/>
                    <a:ln>
                      <a:noFill/>
                    </a:ln>
                  </pic:spPr>
                </pic:pic>
              </a:graphicData>
            </a:graphic>
          </wp:inline>
        </w:drawing>
      </w:r>
    </w:p>
    <w:p>
      <w:pPr>
        <w:spacing w:line="560" w:lineRule="exact"/>
        <w:rPr>
          <w:rFonts w:eastAsia="方正仿宋_GBK"/>
          <w:sz w:val="32"/>
          <w:szCs w:val="32"/>
        </w:rPr>
      </w:pPr>
    </w:p>
    <w:p>
      <w:pPr>
        <w:spacing w:line="560" w:lineRule="exact"/>
        <w:ind w:firstLine="640" w:firstLineChars="200"/>
        <w:rPr>
          <w:rFonts w:eastAsia="方正仿宋_GBK"/>
          <w:sz w:val="32"/>
        </w:rPr>
      </w:pPr>
    </w:p>
    <w:p>
      <w:pPr>
        <w:spacing w:line="560" w:lineRule="exact"/>
        <w:sectPr>
          <w:pgSz w:w="11906" w:h="16838"/>
          <w:pgMar w:top="1440" w:right="1800" w:bottom="1440" w:left="1800" w:header="851" w:footer="992" w:gutter="0"/>
          <w:cols w:space="720" w:num="1"/>
          <w:docGrid w:type="lines" w:linePitch="435" w:charSpace="0"/>
        </w:sectPr>
      </w:pPr>
    </w:p>
    <w:p>
      <w:pPr>
        <w:keepNext/>
        <w:keepLines/>
        <w:spacing w:line="560" w:lineRule="exact"/>
        <w:outlineLvl w:val="0"/>
        <w:rPr>
          <w:rFonts w:eastAsia="方正黑体_GBK"/>
          <w:b/>
          <w:bCs/>
          <w:kern w:val="44"/>
          <w:sz w:val="32"/>
          <w:szCs w:val="44"/>
        </w:rPr>
      </w:pPr>
      <w:bookmarkStart w:id="58" w:name="_Toc18220"/>
      <w:bookmarkStart w:id="59" w:name="_Toc23465"/>
      <w:r>
        <w:rPr>
          <w:rFonts w:eastAsia="方正黑体_GBK"/>
          <w:b/>
          <w:bCs/>
          <w:kern w:val="44"/>
          <w:sz w:val="32"/>
          <w:szCs w:val="44"/>
        </w:rPr>
        <w:t>附件</w:t>
      </w:r>
      <w:bookmarkEnd w:id="58"/>
      <w:r>
        <w:rPr>
          <w:rFonts w:hint="eastAsia" w:eastAsia="方正黑体_GBK"/>
          <w:b/>
          <w:bCs/>
          <w:kern w:val="44"/>
          <w:sz w:val="32"/>
          <w:szCs w:val="44"/>
        </w:rPr>
        <w:t>3</w:t>
      </w:r>
      <w:bookmarkEnd w:id="59"/>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重庆两江新区重污染天气应急响应期间减排措施名单</w:t>
      </w:r>
    </w:p>
    <w:tbl>
      <w:tblPr>
        <w:tblStyle w:val="4"/>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2171"/>
        <w:gridCol w:w="730"/>
        <w:gridCol w:w="1975"/>
        <w:gridCol w:w="1353"/>
        <w:gridCol w:w="118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rPr>
                <w:rFonts w:eastAsia="方正仿宋_GBK"/>
                <w:bCs/>
                <w:sz w:val="24"/>
              </w:rPr>
            </w:pPr>
            <w:r>
              <w:rPr>
                <w:rFonts w:eastAsia="方正仿宋_GBK"/>
                <w:bCs/>
                <w:sz w:val="24"/>
              </w:rPr>
              <w:t>序号</w:t>
            </w:r>
          </w:p>
        </w:tc>
        <w:tc>
          <w:tcPr>
            <w:tcW w:w="2171" w:type="dxa"/>
            <w:vAlign w:val="center"/>
          </w:tcPr>
          <w:p>
            <w:pPr>
              <w:adjustRightInd w:val="0"/>
              <w:snapToGrid w:val="0"/>
              <w:spacing w:line="340" w:lineRule="exact"/>
              <w:jc w:val="center"/>
              <w:rPr>
                <w:rFonts w:eastAsia="方正仿宋_GBK"/>
                <w:bCs/>
                <w:sz w:val="24"/>
              </w:rPr>
            </w:pPr>
            <w:r>
              <w:rPr>
                <w:rFonts w:eastAsia="方正仿宋_GBK"/>
                <w:bCs/>
                <w:sz w:val="24"/>
              </w:rPr>
              <w:t>企业名称</w:t>
            </w:r>
          </w:p>
        </w:tc>
        <w:tc>
          <w:tcPr>
            <w:tcW w:w="730" w:type="dxa"/>
            <w:vAlign w:val="center"/>
          </w:tcPr>
          <w:p>
            <w:pPr>
              <w:adjustRightInd w:val="0"/>
              <w:snapToGrid w:val="0"/>
              <w:spacing w:line="340" w:lineRule="exact"/>
              <w:jc w:val="center"/>
              <w:rPr>
                <w:rFonts w:eastAsia="方正仿宋_GBK"/>
                <w:bCs/>
                <w:sz w:val="24"/>
              </w:rPr>
            </w:pPr>
            <w:r>
              <w:rPr>
                <w:rFonts w:eastAsia="方正仿宋_GBK"/>
                <w:bCs/>
                <w:sz w:val="24"/>
              </w:rPr>
              <w:t>所属区域</w:t>
            </w:r>
          </w:p>
        </w:tc>
        <w:tc>
          <w:tcPr>
            <w:tcW w:w="1975" w:type="dxa"/>
            <w:vAlign w:val="center"/>
          </w:tcPr>
          <w:p>
            <w:pPr>
              <w:adjustRightInd w:val="0"/>
              <w:snapToGrid w:val="0"/>
              <w:spacing w:line="340" w:lineRule="exact"/>
              <w:jc w:val="center"/>
              <w:rPr>
                <w:rFonts w:eastAsia="方正仿宋_GBK"/>
                <w:bCs/>
                <w:sz w:val="24"/>
              </w:rPr>
            </w:pPr>
            <w:r>
              <w:rPr>
                <w:rFonts w:eastAsia="方正仿宋_GBK"/>
                <w:bCs/>
                <w:sz w:val="24"/>
              </w:rPr>
              <w:t>详细地址</w:t>
            </w:r>
          </w:p>
        </w:tc>
        <w:tc>
          <w:tcPr>
            <w:tcW w:w="1353" w:type="dxa"/>
            <w:vAlign w:val="center"/>
          </w:tcPr>
          <w:p>
            <w:pPr>
              <w:adjustRightInd w:val="0"/>
              <w:snapToGrid w:val="0"/>
              <w:spacing w:line="340" w:lineRule="exact"/>
              <w:jc w:val="center"/>
              <w:rPr>
                <w:rFonts w:eastAsia="方正仿宋_GBK"/>
                <w:bCs/>
                <w:sz w:val="24"/>
              </w:rPr>
            </w:pPr>
            <w:r>
              <w:rPr>
                <w:rFonts w:eastAsia="方正仿宋_GBK"/>
                <w:bCs/>
                <w:sz w:val="24"/>
              </w:rPr>
              <w:t>行业类别</w:t>
            </w:r>
          </w:p>
        </w:tc>
        <w:tc>
          <w:tcPr>
            <w:tcW w:w="1189" w:type="dxa"/>
            <w:vAlign w:val="center"/>
          </w:tcPr>
          <w:p>
            <w:pPr>
              <w:adjustRightInd w:val="0"/>
              <w:snapToGrid w:val="0"/>
              <w:spacing w:line="340" w:lineRule="exact"/>
              <w:jc w:val="center"/>
              <w:rPr>
                <w:rFonts w:eastAsia="方正仿宋_GBK"/>
                <w:bCs/>
                <w:sz w:val="24"/>
              </w:rPr>
            </w:pPr>
            <w:r>
              <w:rPr>
                <w:rFonts w:eastAsia="方正仿宋_GBK"/>
                <w:bCs/>
                <w:sz w:val="24"/>
              </w:rPr>
              <w:t>审核类别</w:t>
            </w:r>
          </w:p>
        </w:tc>
        <w:tc>
          <w:tcPr>
            <w:tcW w:w="1227" w:type="dxa"/>
            <w:vAlign w:val="center"/>
          </w:tcPr>
          <w:p>
            <w:pPr>
              <w:adjustRightInd w:val="0"/>
              <w:snapToGrid w:val="0"/>
              <w:spacing w:line="340" w:lineRule="exact"/>
              <w:jc w:val="center"/>
              <w:rPr>
                <w:rFonts w:eastAsia="方正仿宋_GBK"/>
                <w:bCs/>
                <w:sz w:val="24"/>
              </w:rPr>
            </w:pPr>
            <w:r>
              <w:rPr>
                <w:rFonts w:eastAsia="方正仿宋_GBK"/>
                <w:bCs/>
                <w:sz w:val="24"/>
              </w:rPr>
              <w:t>执行减排</w:t>
            </w:r>
          </w:p>
          <w:p>
            <w:pPr>
              <w:adjustRightInd w:val="0"/>
              <w:snapToGrid w:val="0"/>
              <w:spacing w:line="340" w:lineRule="exact"/>
              <w:jc w:val="center"/>
              <w:rPr>
                <w:rFonts w:eastAsia="方正仿宋_GBK"/>
                <w:bCs/>
                <w:sz w:val="24"/>
              </w:rPr>
            </w:pPr>
            <w:r>
              <w:rPr>
                <w:rFonts w:eastAsia="方正仿宋_GBK"/>
                <w:bCs/>
                <w:sz w:val="24"/>
              </w:rPr>
              <w:t>措施情况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1</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上汽红岩汽车有限公司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重庆两江新区黄环北路1号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汽车整车制造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2</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上汽菲亚特红岩动力总成有限公司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重庆两江新区黄环南路1号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汽车用发动机制造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3</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重庆光能荣能汽车配件有限公司（黄茅坪）</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重庆两江新区云瑞街101号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4</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华域视觉科技（重庆）有限公司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重庆两江新区汇金路2号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5</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重庆顶正包材有限公司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重庆两江新区汇金路1号1-6幢</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包装装潢及其他印刷</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6</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重庆凌达压缩机有限公司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重庆两江新区金州大道560号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气体压缩机械制造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7</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重庆凯瑞传动技术有限公司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重庆两江新区长福西路6号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铁路运输设备制造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8</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重庆卡福汽车制动转向系统有限公司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重庆两江新区金开大道长福西路10号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9</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重庆大江东阳塑料制品有限公司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重庆两江新区金开大道2005号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10</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重庆延锋彼欧富维汽车外饰有限公司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重庆两江新区金开大道1999号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11</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重庆正泽汽车零部件有限责任公司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重庆两江新区云柏路6号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12</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重庆秦川实业（集团）股份有限公司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重庆两江新区翠晴路2号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13</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长安福特汽车有限公司(黄茅坪厂区）</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重庆两江新区金山大道666号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汽车整车制造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14</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重庆八菱汽车配件有限责任公司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重庆两江新区长福路200号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15</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重庆北汽模塑科技有限公司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重庆两江新区龙兴镇石香路5号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16</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重庆双五汽车零部件有限公司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重庆两江新区龙兴工业园 B 区标准分区</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17</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重庆双英汽车座椅有限公司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重庆两江新区龙兴工业园 堡云路9号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18</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上汽通用五菱汽车股份有限公司重庆分公司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重庆市渝北区龙兴镇龙港大道88号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汽车整车制造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19</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重庆霍富汽车部件有限公司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重庆两江新区龙兴工业园锦业路6号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20</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北大医药重庆大新药业股份有限公司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重庆市北碚区水土镇方正大道21号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化学药品原料药制造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21</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华能重庆两江燃机发电有限责任公司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重庆两江新区水土高新技术产业园云汉大道3号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火力发电</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eastAsia="方正仿宋_GBK"/>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22</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重庆药友制药有限责任公司水土厂区</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重庆两江新区水土高新园京东方大道66号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化学药品制剂制造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23</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重庆万国半导体科技有限公司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重庆市北碚区悦复大道288号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集成电路制造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24</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重庆京东方光电科技有限公司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重庆两江新区水土高新技术产业园云汉大道7号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显示器件制造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25</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重庆京东方显示技术有限公司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重庆市北碚区云舟路277号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显示器件制造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26</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奥特斯科技（重庆）有限公司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重庆市江北区号鱼嘴镇长和路58号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电子电路制造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27</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赛力斯汽车有限公司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重庆市江北区渝康大道101号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汽车整车制造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28</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重庆重报印务有限公司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重庆市江北区鱼嘴镇康泰路99号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书、报刊印刷</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29</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重庆长安汽车股份有限公司（两江工厂三厂区）</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重庆两江新区鱼复工业园福生大道588号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汽车整车制造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30</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重庆长安汽车股份有限公司（两江工厂二厂区）</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重庆两江新区鱼复工业园两江大道225号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汽车整车制造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31</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重庆长安汽车股份有限公司（两江工厂一厂区）</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重庆两江新区鱼复工业园长安大道107号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汽车整车制造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32</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重庆长安汽车股份有限公司（江北发动机工厂）</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重庆两江新区鱼复工业园长安大道 107 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汽车用发动机制造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33</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重庆长安汽车股份有限公司（江北发动机工厂二工厂）</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重庆两江新区鱼复工业园区两江大道246号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汽车用发动机制造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34</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重庆韩泰轮胎有限公司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重庆市江北区长安大道108号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轮胎制造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35</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重庆川页科技发展有限公司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重庆两江新区鱼复工业园楚商工业园3号厂房</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汽车零部件及配件制造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36</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重庆中车长客轨道车辆有限公司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重庆市江北区鱼嘴镇长美路39号</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城市轨道交通设备制造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37</w:t>
            </w:r>
          </w:p>
        </w:tc>
        <w:tc>
          <w:tcPr>
            <w:tcW w:w="2171"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重庆望江工业有限公司</w:t>
            </w:r>
          </w:p>
        </w:tc>
        <w:tc>
          <w:tcPr>
            <w:tcW w:w="730"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两江新区</w:t>
            </w:r>
          </w:p>
        </w:tc>
        <w:tc>
          <w:tcPr>
            <w:tcW w:w="1975"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重庆市江北区郭家沱</w:t>
            </w:r>
          </w:p>
        </w:tc>
        <w:tc>
          <w:tcPr>
            <w:tcW w:w="1353"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电镀工业，锅炉，改装汽车制造</w:t>
            </w:r>
          </w:p>
        </w:tc>
        <w:tc>
          <w:tcPr>
            <w:tcW w:w="1189"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区级名单</w:t>
            </w:r>
          </w:p>
        </w:tc>
        <w:tc>
          <w:tcPr>
            <w:tcW w:w="1227" w:type="dxa"/>
            <w:vAlign w:val="center"/>
          </w:tcPr>
          <w:p>
            <w:pPr>
              <w:adjustRightInd w:val="0"/>
              <w:snapToGrid w:val="0"/>
              <w:spacing w:line="340" w:lineRule="exact"/>
              <w:jc w:val="center"/>
              <w:textAlignment w:val="center"/>
              <w:rPr>
                <w:rFonts w:eastAsia="方正仿宋_GBK"/>
                <w:bCs/>
                <w:sz w:val="24"/>
              </w:rPr>
            </w:pPr>
            <w:r>
              <w:rPr>
                <w:rFonts w:hint="eastAsia" w:ascii="方正仿宋_GBK" w:hAnsi="方正仿宋_GBK" w:eastAsia="方正仿宋_GBK" w:cs="方正仿宋_GBK"/>
                <w:color w:val="000000"/>
                <w:sz w:val="24"/>
                <w:lang w:bidi="ar"/>
              </w:rPr>
              <w:t>C</w:t>
            </w:r>
          </w:p>
        </w:tc>
      </w:tr>
    </w:tbl>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说明：企业及</w:t>
      </w:r>
      <w:r>
        <w:rPr>
          <w:rFonts w:ascii="方正仿宋_GBK" w:hAnsi="方正仿宋_GBK" w:eastAsia="方正仿宋_GBK" w:cs="方正仿宋_GBK"/>
          <w:sz w:val="28"/>
          <w:szCs w:val="28"/>
        </w:rPr>
        <w:t>执行减排措施情况</w:t>
      </w:r>
      <w:r>
        <w:rPr>
          <w:rFonts w:hint="eastAsia" w:ascii="方正仿宋_GBK" w:hAnsi="方正仿宋_GBK" w:eastAsia="方正仿宋_GBK" w:cs="方正仿宋_GBK"/>
          <w:sz w:val="28"/>
          <w:szCs w:val="28"/>
        </w:rPr>
        <w:t>，根据实际情况进行更新。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书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600" w:lineRule="exact"/>
      <w:rPr>
        <w:rFonts w:eastAsia="方正仿宋_GBK"/>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spacing w:line="600" w:lineRule="exact"/>
      <w:ind w:firstLine="560" w:firstLineChars="200"/>
      <w:jc w:val="right"/>
      <w:rPr>
        <w:rFonts w:ascii="宋体" w:hAnsi="宋体"/>
        <w:sz w:val="28"/>
        <w:szCs w:val="28"/>
      </w:rPr>
    </w:pPr>
    <w:r>
      <w:rPr>
        <w:rFonts w:eastAsia="方正仿宋_GBK"/>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spacing w:line="600" w:lineRule="exact"/>
                            <w:ind w:firstLine="360" w:firstLineChars="200"/>
                            <w:rPr>
                              <w:rFonts w:eastAsia="方正仿宋_GBK"/>
                              <w:sz w:val="18"/>
                            </w:rPr>
                          </w:pPr>
                          <w:r>
                            <w:rPr>
                              <w:rFonts w:eastAsia="方正仿宋_GBK"/>
                              <w:sz w:val="18"/>
                            </w:rPr>
                            <w:fldChar w:fldCharType="begin"/>
                          </w:r>
                          <w:r>
                            <w:rPr>
                              <w:rFonts w:eastAsia="方正仿宋_GBK"/>
                              <w:sz w:val="18"/>
                            </w:rPr>
                            <w:instrText xml:space="preserve"> PAGE  \* MERGEFORMAT </w:instrText>
                          </w:r>
                          <w:r>
                            <w:rPr>
                              <w:rFonts w:eastAsia="方正仿宋_GBK"/>
                              <w:sz w:val="18"/>
                            </w:rPr>
                            <w:fldChar w:fldCharType="separate"/>
                          </w:r>
                          <w:r>
                            <w:rPr>
                              <w:rFonts w:eastAsia="方正仿宋_GBK"/>
                              <w:sz w:val="18"/>
                            </w:rPr>
                            <w:t>1</w:t>
                          </w:r>
                          <w:r>
                            <w:rPr>
                              <w:rFonts w:eastAsia="方正仿宋_GBK"/>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jp6Uz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zjp6UzAgAAZQQAAA4AAAAAAAAAAQAgAAAAHwEAAGRycy9lMm9Eb2MueG1sUEsF&#10;BgAAAAAGAAYAWQEAAMQFAAAAAA==&#10;">
              <v:fill on="f" focussize="0,0"/>
              <v:stroke on="f" weight="0.5pt"/>
              <v:imagedata o:title=""/>
              <o:lock v:ext="edit" aspectratio="f"/>
              <v:textbox inset="0mm,0mm,0mm,0mm" style="mso-fit-shape-to-text:t;">
                <w:txbxContent>
                  <w:p>
                    <w:pPr>
                      <w:snapToGrid w:val="0"/>
                      <w:spacing w:line="600" w:lineRule="exact"/>
                      <w:ind w:firstLine="360" w:firstLineChars="200"/>
                      <w:rPr>
                        <w:rFonts w:eastAsia="方正仿宋_GBK"/>
                        <w:sz w:val="18"/>
                      </w:rPr>
                    </w:pPr>
                    <w:r>
                      <w:rPr>
                        <w:rFonts w:eastAsia="方正仿宋_GBK"/>
                        <w:sz w:val="18"/>
                      </w:rPr>
                      <w:fldChar w:fldCharType="begin"/>
                    </w:r>
                    <w:r>
                      <w:rPr>
                        <w:rFonts w:eastAsia="方正仿宋_GBK"/>
                        <w:sz w:val="18"/>
                      </w:rPr>
                      <w:instrText xml:space="preserve"> PAGE  \* MERGEFORMAT </w:instrText>
                    </w:r>
                    <w:r>
                      <w:rPr>
                        <w:rFonts w:eastAsia="方正仿宋_GBK"/>
                        <w:sz w:val="18"/>
                      </w:rPr>
                      <w:fldChar w:fldCharType="separate"/>
                    </w:r>
                    <w:r>
                      <w:rPr>
                        <w:rFonts w:eastAsia="方正仿宋_GBK"/>
                        <w:sz w:val="18"/>
                      </w:rPr>
                      <w:t>1</w:t>
                    </w:r>
                    <w:r>
                      <w:rPr>
                        <w:rFonts w:eastAsia="方正仿宋_GBK"/>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snapToGrid w:val="0"/>
        <w:spacing w:line="600" w:lineRule="exact"/>
        <w:ind w:firstLine="360" w:firstLineChars="200"/>
        <w:rPr>
          <w:rFonts w:eastAsia="方正仿宋_GBK"/>
          <w:sz w:val="18"/>
        </w:rPr>
      </w:pPr>
      <w:r>
        <w:rPr>
          <w:rStyle w:val="6"/>
          <w:sz w:val="18"/>
        </w:rPr>
        <w:footnoteRef/>
      </w:r>
      <w:r>
        <w:rPr>
          <w:rFonts w:eastAsia="方正仿宋_GBK"/>
          <w:sz w:val="18"/>
        </w:rPr>
        <w:t xml:space="preserve"> </w:t>
      </w:r>
      <w:r>
        <w:rPr>
          <w:rFonts w:hint="eastAsia" w:eastAsia="方正仿宋_GBK"/>
          <w:sz w:val="18"/>
        </w:rPr>
        <w:t>指根据电力、供水、供气等民生保障类企业承担的保障任务量确定企业最大允许生产负荷。</w:t>
      </w:r>
    </w:p>
  </w:footnote>
  <w:footnote w:id="1">
    <w:p>
      <w:pPr>
        <w:snapToGrid w:val="0"/>
        <w:spacing w:line="600" w:lineRule="exact"/>
        <w:ind w:firstLine="360" w:firstLineChars="200"/>
        <w:rPr>
          <w:rFonts w:eastAsia="方正仿宋_GBK"/>
          <w:sz w:val="18"/>
        </w:rPr>
      </w:pPr>
      <w:r>
        <w:rPr>
          <w:rStyle w:val="6"/>
          <w:sz w:val="18"/>
        </w:rPr>
        <w:footnoteRef/>
      </w:r>
      <w:r>
        <w:rPr>
          <w:rFonts w:eastAsia="方正仿宋_GBK"/>
          <w:sz w:val="18"/>
        </w:rPr>
        <w:t xml:space="preserve"> </w:t>
      </w:r>
      <w:r>
        <w:rPr>
          <w:rFonts w:hint="eastAsia" w:eastAsia="方正仿宋_GBK"/>
          <w:sz w:val="18"/>
        </w:rPr>
        <w:t>指纳入重污染天气应急减排清单的工业企业根据企业实际情况制定污染源减排措施。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s>
  <w:rsids>
    <w:rsidRoot w:val="0A2E586F"/>
    <w:rsid w:val="000075D1"/>
    <w:rsid w:val="00963274"/>
    <w:rsid w:val="0A2E586F"/>
    <w:rsid w:val="4C091647"/>
    <w:rsid w:val="75EC2506"/>
    <w:rsid w:val="BAEF15BD"/>
    <w:rsid w:val="CDD6F43B"/>
    <w:rsid w:val="FB4C9914"/>
    <w:rsid w:val="FBFB6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footnote reference"/>
    <w:autoRedefine/>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29</Pages>
  <Words>10914</Words>
  <Characters>3118</Characters>
  <Lines>25</Lines>
  <Paragraphs>28</Paragraphs>
  <TotalTime>0</TotalTime>
  <ScaleCrop>false</ScaleCrop>
  <LinksUpToDate>false</LinksUpToDate>
  <CharactersWithSpaces>14004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2023-08-03T01:54:00Z</dcterms:created>
  <dc:creator>小八</dc:creator>
  <cp:lastModifiedBy>今晚吃什么啊</cp:lastModifiedBy>
  <cp:lastPrinted>2023-07-25T11:07:00Z</cp:lastPrinted>
  <dcterms:modified xsi:type="dcterms:W3CDTF">2024-03-06T09:29:10Z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AC8DCAD5F0A9482BB6BE587C53439347_11</vt:lpwstr>
  </property>
</Properties>
</file>