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100</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23</w:t>
      </w:r>
      <w:r>
        <w:rPr>
          <w:rFonts w:ascii="Times New Roman" w:hAnsi="Times New Roman" w:eastAsia="方正仿宋_GBK"/>
          <w:sz w:val="28"/>
          <w:szCs w:val="28"/>
        </w:rPr>
        <w:t>日—2025年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9"/>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50"/>
        <w:gridCol w:w="720"/>
        <w:gridCol w:w="810"/>
        <w:gridCol w:w="735"/>
        <w:gridCol w:w="1380"/>
        <w:gridCol w:w="254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560"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20"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81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35"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380"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54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560"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100</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北大医药智能化制剂生产线新建项目</w:t>
            </w:r>
          </w:p>
        </w:tc>
        <w:tc>
          <w:tcPr>
            <w:tcW w:w="720"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重庆市北碚区水土镇方正大道21号</w:t>
            </w:r>
          </w:p>
        </w:tc>
        <w:tc>
          <w:tcPr>
            <w:tcW w:w="810" w:type="dxa"/>
            <w:vAlign w:val="center"/>
          </w:tcPr>
          <w:p>
            <w:pPr>
              <w:jc w:val="center"/>
              <w:rPr>
                <w:rFonts w:ascii="Times New Roman" w:hAnsi="Times New Roman" w:eastAsia="方正仿宋_GBK"/>
                <w:szCs w:val="21"/>
              </w:rPr>
            </w:pPr>
            <w:r>
              <w:rPr>
                <w:rFonts w:hint="eastAsia" w:eastAsia="方正仿宋_GBK"/>
                <w:szCs w:val="21"/>
              </w:rPr>
              <w:t xml:space="preserve"> 北大医药股份有限公司</w:t>
            </w:r>
          </w:p>
        </w:tc>
        <w:tc>
          <w:tcPr>
            <w:tcW w:w="73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重庆百地环保科技有限公司</w:t>
            </w:r>
          </w:p>
        </w:tc>
        <w:tc>
          <w:tcPr>
            <w:tcW w:w="1380"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在现301车间一楼闲置区域新建1条口服液体制剂生产线，年产口服液1亿支/年；在现301车间三楼闲置区域新建1条片剂生产线，年产片剂3亿片/年；在现405车间一楼闲置区域新建1条头孢类固体制剂生产线，年产头孢类片剂0.794亿片/年、头孢类胶囊剂1.411亿粒/年、头孢类颗粒剂0.795亿袋/年。</w:t>
            </w:r>
          </w:p>
        </w:tc>
        <w:tc>
          <w:tcPr>
            <w:tcW w:w="2543"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废气</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本项目产生的废气主要为配料、破碎、筛分、压片、沸腾干燥、包衣、抛光等工序产生的粉尘，经各工序设备自带的布袋除尘器除尘后排入洁净室，经空调排风系统排至室外。</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项目废气主要为计量和投料过程中产生的粉尘。项目称量和投料区均密闭设置，不会形成弥散型无组织排放。企业拟采取以下防范措施：</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废水</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本项目新增废水主要为瓶/盖清洗废水、纯水制备系统排水、设备清洗水和员工生活污水。纯水制备系统排水直接接入园区污水管网，瓶/盖清洗废水、设备清洗水和员工生活污水分别收集后通过泵提升至管廊架输送至北大医药现有南厂区污水处理站，瓶/盖清洗废水和员工生活污水进入调配池，设备清洗水进入高浓废水调节池经灭活预处理后再进入调配池与低浓废水混合后再进入后续生化处理系统处理达《污水综合排放标准》（GB8978-1996）三级标准后由园区污水管网引入水土园区污水处理厂进一步处理达到《城镇污水处理厂污染物排放标准》（GB18918-2002）一级A标准后排入竹溪河。</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固废</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本项目营运期产生的固体废物包括废包装材料，布袋除尘器收集的粉尘、不合格品、废机油、废油桶、废棉纱手套和生活垃圾。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一般固废：废包装材料依托南厂区现有一般工业固废暂存间暂存，然后外售给物资回收部门。一般固废暂存间位于南厂区，占地面积约300㎡，对一般固废进行分类收集，满足相应的防渗漏、防雨淋、防扬尘要求。</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危险废物：布袋除尘器收集的粉尘、不合格品、废机油、废油桶、废棉纱手套依托南厂区现有危废贮存库暂存，然后交危废资质单位处理。危废贮存库位于南厂区，占地面积约600㎡，用于收集暂存危废，做好了防风、防晒、防雨、防漏、防渗、防腐等措施。</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生活垃圾：生活垃圾集中收集后交环卫部门统一处置。</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噪声</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本项目营运期噪声主要来源于粉碎机、混合机、制粒机等设备运行噪声，项目设备产生的噪声属于中、低频噪声，多为低噪声设备。噪声源强约为65~90dB(A)。项目采取选用低噪声设备，采取墙体隔声、减振等降噪措施。</w:t>
            </w:r>
          </w:p>
          <w:p>
            <w:pPr>
              <w:jc w:val="left"/>
              <w:rPr>
                <w:rFonts w:hint="eastAsia" w:ascii="Times New Roman" w:hAnsi="Times New Roman" w:eastAsia="方正仿宋_GBK"/>
                <w:szCs w:val="21"/>
                <w:lang w:val="en-US" w:eastAsia="zh-CN"/>
              </w:rPr>
            </w:pPr>
            <w:bookmarkStart w:id="0" w:name="_GoBack"/>
            <w:bookmarkEnd w:id="0"/>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号：2508-500351-04-01-736370</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4"/>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28539C9"/>
    <w:rsid w:val="030419AB"/>
    <w:rsid w:val="05767930"/>
    <w:rsid w:val="05F62908"/>
    <w:rsid w:val="08C56EAF"/>
    <w:rsid w:val="0E4E5BEC"/>
    <w:rsid w:val="0F1F157A"/>
    <w:rsid w:val="11AD0FFC"/>
    <w:rsid w:val="172369DD"/>
    <w:rsid w:val="17BB758D"/>
    <w:rsid w:val="185A4153"/>
    <w:rsid w:val="18A14E87"/>
    <w:rsid w:val="195F11EE"/>
    <w:rsid w:val="1DF7184E"/>
    <w:rsid w:val="201D735D"/>
    <w:rsid w:val="21183073"/>
    <w:rsid w:val="21423414"/>
    <w:rsid w:val="22E54F19"/>
    <w:rsid w:val="23D736F7"/>
    <w:rsid w:val="25663024"/>
    <w:rsid w:val="280B62C9"/>
    <w:rsid w:val="29E06B8B"/>
    <w:rsid w:val="2BAE7F96"/>
    <w:rsid w:val="2DBEB110"/>
    <w:rsid w:val="2F7D2D23"/>
    <w:rsid w:val="31683AED"/>
    <w:rsid w:val="32EC28BE"/>
    <w:rsid w:val="38657DDE"/>
    <w:rsid w:val="39C34C0A"/>
    <w:rsid w:val="3C9361F6"/>
    <w:rsid w:val="3EAF0782"/>
    <w:rsid w:val="41185F53"/>
    <w:rsid w:val="43AB3B15"/>
    <w:rsid w:val="444326A8"/>
    <w:rsid w:val="450A655B"/>
    <w:rsid w:val="450E7365"/>
    <w:rsid w:val="48A96DAB"/>
    <w:rsid w:val="49553B24"/>
    <w:rsid w:val="498C0EB8"/>
    <w:rsid w:val="4B3049AE"/>
    <w:rsid w:val="4C6B5A77"/>
    <w:rsid w:val="4CB301CB"/>
    <w:rsid w:val="4CD44698"/>
    <w:rsid w:val="4DDA79E4"/>
    <w:rsid w:val="4E0E5C5C"/>
    <w:rsid w:val="520B7CF7"/>
    <w:rsid w:val="52FE1B25"/>
    <w:rsid w:val="55113D75"/>
    <w:rsid w:val="56930BBC"/>
    <w:rsid w:val="5A77690A"/>
    <w:rsid w:val="5AD24D5A"/>
    <w:rsid w:val="5B576683"/>
    <w:rsid w:val="5C286CF8"/>
    <w:rsid w:val="5D6F37F8"/>
    <w:rsid w:val="5D7F6A78"/>
    <w:rsid w:val="5F2E3D0E"/>
    <w:rsid w:val="5F775171"/>
    <w:rsid w:val="613D5148"/>
    <w:rsid w:val="63100159"/>
    <w:rsid w:val="63E57628"/>
    <w:rsid w:val="6529198F"/>
    <w:rsid w:val="67AA0246"/>
    <w:rsid w:val="681078B5"/>
    <w:rsid w:val="6A8105C6"/>
    <w:rsid w:val="6AAC1BD1"/>
    <w:rsid w:val="6E8037FD"/>
    <w:rsid w:val="6F161322"/>
    <w:rsid w:val="6F49252B"/>
    <w:rsid w:val="6F566016"/>
    <w:rsid w:val="72BD3E4E"/>
    <w:rsid w:val="76315D9F"/>
    <w:rsid w:val="785A26DE"/>
    <w:rsid w:val="794A51D3"/>
    <w:rsid w:val="796FB738"/>
    <w:rsid w:val="79BE817F"/>
    <w:rsid w:val="7A4560E2"/>
    <w:rsid w:val="7ACF05CD"/>
    <w:rsid w:val="7D9B0690"/>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b/>
      <w:bCs/>
      <w:sz w:val="24"/>
    </w:rPr>
  </w:style>
  <w:style w:type="paragraph" w:styleId="4">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basedOn w:val="1"/>
    <w:qFormat/>
    <w:uiPriority w:val="0"/>
    <w:rPr>
      <w:rFonts w:ascii="宋体" w:hAnsi="Courier New"/>
      <w:kern w:val="44"/>
      <w:szCs w:val="20"/>
    </w:rPr>
  </w:style>
  <w:style w:type="paragraph" w:styleId="7">
    <w:name w:val="Normal (Web)"/>
    <w:basedOn w:val="1"/>
    <w:semiHidden/>
    <w:unhideWhenUsed/>
    <w:qFormat/>
    <w:uiPriority w:val="99"/>
    <w:pPr>
      <w:widowControl/>
      <w:spacing w:before="100" w:beforeAutospacing="1" w:after="100" w:afterAutospacing="1"/>
    </w:pPr>
    <w:rPr>
      <w:sz w:val="24"/>
    </w:rPr>
  </w:style>
  <w:style w:type="paragraph" w:customStyle="1" w:styleId="10">
    <w:name w:val="Default"/>
    <w:basedOn w:val="11"/>
    <w:next w:val="5"/>
    <w:qFormat/>
    <w:uiPriority w:val="0"/>
    <w:pPr>
      <w:widowControl w:val="0"/>
      <w:autoSpaceDE w:val="0"/>
      <w:autoSpaceDN w:val="0"/>
    </w:pPr>
    <w:rPr>
      <w:rFonts w:ascii="宋体"/>
      <w:color w:val="000000"/>
      <w:sz w:val="24"/>
    </w:rPr>
  </w:style>
  <w:style w:type="paragraph" w:customStyle="1" w:styleId="11">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Layout w:type="fixed"/>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 w:type="paragraph" w:styleId="121">
    <w:name w:val="List Paragraph"/>
    <w:basedOn w:val="1"/>
    <w:qFormat/>
    <w:uiPriority w:val="34"/>
    <w:pPr>
      <w:ind w:left="720"/>
      <w:contextualSpacing/>
    </w:pPr>
  </w:style>
  <w:style w:type="paragraph" w:customStyle="1" w:styleId="122">
    <w:name w:val="zh表格（规划）"/>
    <w:basedOn w:val="1"/>
    <w:qFormat/>
    <w:uiPriority w:val="0"/>
    <w:pPr>
      <w:widowControl/>
      <w:jc w:val="left"/>
    </w:pPr>
    <w:rPr>
      <w:rFonts w:ascii="Times New Roman" w:hAnsi="Times New Roman" w:eastAsia="宋体" w:cs="Times New Roman"/>
      <w:snapToGrid w:val="0"/>
      <w:color w:val="000000" w:themeColor="text1"/>
      <w:szCs w:val="24"/>
      <w14:textFill>
        <w14:solidFill>
          <w14:schemeClr w14:val="tx1"/>
        </w14:solidFill>
      </w14:textFill>
    </w:rPr>
  </w:style>
  <w:style w:type="paragraph" w:customStyle="1" w:styleId="12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0</TotalTime>
  <ScaleCrop>false</ScaleCrop>
  <LinksUpToDate>false</LinksUpToDate>
  <CharactersWithSpaces>614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2025-08-04T07:04:00Z</dcterms:created>
  <dc:creator>两江新区分局_两江新区分局行政审批科_薛邓益</dc:creator>
  <cp:lastModifiedBy>两江新区分局_两江新区分局行政审批科_薛邓益</cp:lastModifiedBy>
  <cp:lastPrinted>2025-09-05T16:10:00Z</cp:lastPrinted>
  <dcterms:modified xsi:type="dcterms:W3CDTF">2025-10-22T06:21:50Z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