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3F101">
      <w:pPr>
        <w:jc w:val="both"/>
        <w:rPr>
          <w:rFonts w:ascii="方正小标宋_GBK" w:eastAsia="方正小标宋_GBK"/>
          <w:sz w:val="44"/>
          <w:szCs w:val="44"/>
        </w:rPr>
      </w:pPr>
    </w:p>
    <w:p w14:paraId="4B3A0AE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两江新区202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1-6月</w:t>
      </w:r>
      <w:r>
        <w:rPr>
          <w:rFonts w:hint="eastAsia" w:ascii="方正小标宋_GBK" w:eastAsia="方正小标宋_GBK"/>
          <w:sz w:val="44"/>
          <w:szCs w:val="44"/>
        </w:rPr>
        <w:t>主要经济情况简析</w:t>
      </w:r>
    </w:p>
    <w:p w14:paraId="1744E31E">
      <w:pPr>
        <w:jc w:val="both"/>
      </w:pPr>
    </w:p>
    <w:p w14:paraId="2D374FA2">
      <w:pPr>
        <w:jc w:val="both"/>
        <w:rPr>
          <w:rFonts w:ascii="方正仿宋_GBK" w:eastAsia="方正仿宋_GBK"/>
          <w:sz w:val="32"/>
          <w:szCs w:val="32"/>
        </w:rPr>
      </w:pPr>
    </w:p>
    <w:p w14:paraId="0094C820">
      <w:pPr>
        <w:ind w:firstLine="640" w:firstLineChars="200"/>
        <w:jc w:val="both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，两江新区地区生产总值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2681.75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亿元，按可比价计算增长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%，其中一、二、三次产业实现增加值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781.55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1891.4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增速分别为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%。三次产业结构比为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。其中：直管区地区生产总值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1512.58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亿元，按可比价计算增长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%，其中一、二、三次产业实现增加值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542.43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962.22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亿元，分别增长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%。三次产业结构比为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35.9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63.6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73970CD">
      <w:pPr>
        <w:jc w:val="center"/>
        <w:rPr>
          <w:rFonts w:ascii="方正仿宋_GBK" w:eastAsia="方正仿宋_GBK"/>
          <w:color w:val="FF0000"/>
          <w:sz w:val="32"/>
          <w:szCs w:val="32"/>
        </w:rPr>
      </w:pPr>
      <w:r>
        <w:drawing>
          <wp:inline distT="0" distB="0" distL="114300" distR="114300">
            <wp:extent cx="4592320" cy="2819400"/>
            <wp:effectExtent l="4445" t="5080" r="5715" b="1016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5BBE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，两江新区实现规上工业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%。其中：直管区实现规上工业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 w14:paraId="1D67E2E3">
      <w:pPr>
        <w:jc w:val="center"/>
        <w:rPr>
          <w:rFonts w:hint="eastAsia" w:ascii="方正仿宋_GBK" w:eastAsia="方正仿宋_GBK"/>
          <w:color w:val="auto"/>
          <w:sz w:val="32"/>
          <w:szCs w:val="32"/>
        </w:rPr>
      </w:pPr>
      <w:r>
        <w:drawing>
          <wp:inline distT="0" distB="0" distL="114300" distR="114300">
            <wp:extent cx="4946015" cy="2699385"/>
            <wp:effectExtent l="4445" t="4445" r="17780" b="889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1295C18">
      <w:pPr>
        <w:ind w:firstLine="640" w:firstLineChars="200"/>
        <w:jc w:val="both"/>
        <w:rPr>
          <w:rFonts w:ascii="方正仿宋_GBK" w:eastAsia="方正仿宋_GBK"/>
          <w:color w:val="FF0000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，两江新区社会消费品零售总额完成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1306.55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%；批发业销售额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5885.44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%；零售业销售额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1160.8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%。其中：直管区社会消费品零售总额完成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794.0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 w14:paraId="61F6173F">
      <w:pPr>
        <w:jc w:val="center"/>
        <w:rPr>
          <w:rFonts w:ascii="方正仿宋_GBK" w:eastAsia="方正仿宋_GBK"/>
          <w:color w:val="FF0000"/>
          <w:sz w:val="32"/>
          <w:szCs w:val="32"/>
        </w:rPr>
      </w:pPr>
      <w:r>
        <w:drawing>
          <wp:inline distT="0" distB="0" distL="114300" distR="114300">
            <wp:extent cx="4693920" cy="2268855"/>
            <wp:effectExtent l="4445" t="4445" r="10795" b="1270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8BB71E">
      <w:pPr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，两江新区固定资产投资同比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%，工业投资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17.7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%。其中：直管区固定资产投资同比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%，工业投资增长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22.5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 w14:paraId="0D415CCF">
      <w:pPr>
        <w:jc w:val="center"/>
        <w:rPr>
          <w:rFonts w:ascii="方正仿宋_GBK" w:eastAsia="方正仿宋_GBK"/>
          <w:color w:val="FF0000"/>
          <w:sz w:val="32"/>
          <w:szCs w:val="32"/>
        </w:rPr>
      </w:pPr>
      <w:r>
        <w:drawing>
          <wp:inline distT="0" distB="0" distL="114300" distR="114300">
            <wp:extent cx="4500880" cy="3106420"/>
            <wp:effectExtent l="5080" t="5080" r="5080" b="12700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3F483B7">
      <w:pPr>
        <w:ind w:firstLine="640" w:firstLineChars="200"/>
        <w:jc w:val="both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，两江新区一般公共预算收入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160.45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%；一般公共预算支出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215.22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%。其中：直管区一般公共预算收入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70.47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%；一般公共预算支出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72.79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%。</w:t>
      </w:r>
    </w:p>
    <w:p w14:paraId="2CFD4051">
      <w:pPr>
        <w:jc w:val="center"/>
        <w:rPr>
          <w:rFonts w:ascii="方正仿宋_GBK" w:eastAsia="方正仿宋_GBK"/>
          <w:color w:val="FF0000"/>
          <w:sz w:val="32"/>
          <w:szCs w:val="32"/>
        </w:rPr>
      </w:pPr>
      <w:r>
        <w:drawing>
          <wp:inline distT="0" distB="0" distL="114300" distR="114300">
            <wp:extent cx="4905375" cy="2827020"/>
            <wp:effectExtent l="4445" t="4445" r="12700" b="18415"/>
            <wp:docPr id="6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EB"/>
    <w:rsid w:val="000112EB"/>
    <w:rsid w:val="000579E6"/>
    <w:rsid w:val="000B4652"/>
    <w:rsid w:val="0014683C"/>
    <w:rsid w:val="004F31EB"/>
    <w:rsid w:val="0054322A"/>
    <w:rsid w:val="00692018"/>
    <w:rsid w:val="007C0A75"/>
    <w:rsid w:val="00990631"/>
    <w:rsid w:val="00AD3B92"/>
    <w:rsid w:val="00B531E7"/>
    <w:rsid w:val="00C92F59"/>
    <w:rsid w:val="00CC68B1"/>
    <w:rsid w:val="00D336AA"/>
    <w:rsid w:val="00DB0C5F"/>
    <w:rsid w:val="00E0598E"/>
    <w:rsid w:val="00E24102"/>
    <w:rsid w:val="00E519B8"/>
    <w:rsid w:val="00E60DE4"/>
    <w:rsid w:val="00F41632"/>
    <w:rsid w:val="01D673F1"/>
    <w:rsid w:val="049C3890"/>
    <w:rsid w:val="053C1747"/>
    <w:rsid w:val="0C855295"/>
    <w:rsid w:val="0DC82229"/>
    <w:rsid w:val="16B00BBB"/>
    <w:rsid w:val="186D30FE"/>
    <w:rsid w:val="19E03427"/>
    <w:rsid w:val="1B5B7A58"/>
    <w:rsid w:val="1D28237C"/>
    <w:rsid w:val="1D88413D"/>
    <w:rsid w:val="1F4E2022"/>
    <w:rsid w:val="205716FD"/>
    <w:rsid w:val="228F4685"/>
    <w:rsid w:val="22925172"/>
    <w:rsid w:val="265D4F45"/>
    <w:rsid w:val="29404687"/>
    <w:rsid w:val="2BDC36E9"/>
    <w:rsid w:val="2F12659E"/>
    <w:rsid w:val="307E4B9D"/>
    <w:rsid w:val="32E34FF0"/>
    <w:rsid w:val="366F3C3D"/>
    <w:rsid w:val="36A24D50"/>
    <w:rsid w:val="38263009"/>
    <w:rsid w:val="388C5CDE"/>
    <w:rsid w:val="3F45396A"/>
    <w:rsid w:val="40502771"/>
    <w:rsid w:val="41C37297"/>
    <w:rsid w:val="4A5F4F8D"/>
    <w:rsid w:val="4E282719"/>
    <w:rsid w:val="4FAE3B00"/>
    <w:rsid w:val="50943165"/>
    <w:rsid w:val="529A13F5"/>
    <w:rsid w:val="55E56167"/>
    <w:rsid w:val="584B787D"/>
    <w:rsid w:val="59187233"/>
    <w:rsid w:val="5B814E97"/>
    <w:rsid w:val="5DCE5CFB"/>
    <w:rsid w:val="5F694A8F"/>
    <w:rsid w:val="615D62A1"/>
    <w:rsid w:val="61984D27"/>
    <w:rsid w:val="62A567AA"/>
    <w:rsid w:val="62D4712C"/>
    <w:rsid w:val="655E4775"/>
    <w:rsid w:val="689D48A7"/>
    <w:rsid w:val="69B87CFB"/>
    <w:rsid w:val="6B3B52B5"/>
    <w:rsid w:val="73647ADB"/>
    <w:rsid w:val="73E545D7"/>
    <w:rsid w:val="759156C7"/>
    <w:rsid w:val="7631603D"/>
    <w:rsid w:val="799B0384"/>
    <w:rsid w:val="7C5615BF"/>
    <w:rsid w:val="7EC82F11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G:\&#20449;&#24687;&#20844;&#24320;&#65288;&#23395;&#24230;&#65289;\11&#23395;&#24230;&#25968;&#25454;&#20844;&#24320;&#22686;&#36895;&#36208;&#21183;&#22270;&#65288;&#27169;&#26495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G:\&#20449;&#24687;&#20844;&#24320;&#65288;&#23395;&#24230;&#65289;\11&#23395;&#24230;&#25968;&#25454;&#20844;&#24320;&#22686;&#36895;&#36208;&#21183;&#22270;&#65288;&#27169;&#26495;&#65289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G:\&#20449;&#24687;&#20844;&#24320;&#65288;&#23395;&#24230;&#65289;\11&#23395;&#24230;&#25968;&#25454;&#20844;&#24320;&#22686;&#36895;&#36208;&#21183;&#22270;&#65288;&#27169;&#26495;&#65289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G:\&#20449;&#24687;&#20844;&#24320;&#65288;&#23395;&#24230;&#65289;\11&#23395;&#24230;&#25968;&#25454;&#20844;&#24320;&#22686;&#36895;&#36208;&#21183;&#22270;&#65288;&#27169;&#26495;&#6528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G:\&#20449;&#24687;&#20844;&#24320;&#65288;&#23395;&#24230;&#65289;\11&#23395;&#24230;&#25968;&#25454;&#20844;&#24320;&#22686;&#36895;&#36208;&#21183;&#22270;&#65288;&#27169;&#26495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图1：地区生产总值增速走势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02769535113748"/>
          <c:y val="0.176228343922827"/>
          <c:w val="0.956478733926805"/>
          <c:h val="0.64052420530767"/>
        </c:manualLayout>
      </c:layout>
      <c:lineChart>
        <c:grouping val="standard"/>
        <c:varyColors val="0"/>
        <c:ser>
          <c:idx val="0"/>
          <c:order val="0"/>
          <c:tx>
            <c:strRef>
              <c:f>'[11季度数据公开增速走势图（模板）.xlsx]GDP'!$A$2</c:f>
              <c:strCache>
                <c:ptCount val="1"/>
                <c:pt idx="0">
                  <c:v>两江新区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'[11季度数据公开增速走势图（模板）.xlsx]GDP'!$B$1:$I$1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'[11季度数据公开增速走势图（模板）.xlsx]GDP'!$B$2:$I$2</c:f>
              <c:numCache>
                <c:formatCode>0.000_ </c:formatCode>
                <c:ptCount val="8"/>
                <c:pt idx="0">
                  <c:v>0.05</c:v>
                </c:pt>
                <c:pt idx="1">
                  <c:v>0.055</c:v>
                </c:pt>
                <c:pt idx="2">
                  <c:v>0.061</c:v>
                </c:pt>
                <c:pt idx="3">
                  <c:v>0.062</c:v>
                </c:pt>
                <c:pt idx="4">
                  <c:v>0.051</c:v>
                </c:pt>
                <c:pt idx="5">
                  <c:v>0.06</c:v>
                </c:pt>
                <c:pt idx="6">
                  <c:v>0.043</c:v>
                </c:pt>
                <c:pt idx="7">
                  <c:v>0.061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'[11季度数据公开增速走势图（模板）.xlsx]GDP'!$A$3</c:f>
              <c:strCache>
                <c:ptCount val="1"/>
                <c:pt idx="0">
                  <c:v>两江新区直管区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'[11季度数据公开增速走势图（模板）.xlsx]GDP'!$B$1:$I$1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'[11季度数据公开增速走势图（模板）.xlsx]GDP'!$B$3:$I$3</c:f>
              <c:numCache>
                <c:formatCode>0.000_ </c:formatCode>
                <c:ptCount val="8"/>
                <c:pt idx="0">
                  <c:v>0.057</c:v>
                </c:pt>
                <c:pt idx="1">
                  <c:v>0.065</c:v>
                </c:pt>
                <c:pt idx="2">
                  <c:v>0.072</c:v>
                </c:pt>
                <c:pt idx="3">
                  <c:v>0.076</c:v>
                </c:pt>
                <c:pt idx="4">
                  <c:v>0.072</c:v>
                </c:pt>
                <c:pt idx="5">
                  <c:v>0.072</c:v>
                </c:pt>
                <c:pt idx="6">
                  <c:v>0.057</c:v>
                </c:pt>
                <c:pt idx="7">
                  <c:v>0.073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90496"/>
        <c:axId val="46108672"/>
      </c:lineChart>
      <c:dateAx>
        <c:axId val="4609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0"/>
        <c:lblAlgn val="ctr"/>
        <c:lblOffset val="1000"/>
        <c:baseTimeUnit val="days"/>
      </c:dateAx>
      <c:valAx>
        <c:axId val="4610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8832173716726"/>
          <c:y val="0.84784805011113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9d909d8-0544-4356-9aa0-eebcad6c0f7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图2：规上工业增加值增速走势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02769535113748"/>
          <c:y val="0.176228343922827"/>
          <c:w val="0.956478733926805"/>
          <c:h val="0.64052420530767"/>
        </c:manualLayout>
      </c:layout>
      <c:lineChart>
        <c:grouping val="standard"/>
        <c:varyColors val="0"/>
        <c:ser>
          <c:idx val="0"/>
          <c:order val="0"/>
          <c:tx>
            <c:strRef>
              <c:f>'[11季度数据公开增速走势图（模板）.xlsx]工业'!$A$2</c:f>
              <c:strCache>
                <c:ptCount val="1"/>
                <c:pt idx="0">
                  <c:v>两江新区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'[11季度数据公开增速走势图（模板）.xlsx]工业'!$B$1:$I$1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'[11季度数据公开增速走势图（模板）.xlsx]工业'!$B$2:$I$2</c:f>
              <c:numCache>
                <c:formatCode>0.000_ </c:formatCode>
                <c:ptCount val="8"/>
                <c:pt idx="0">
                  <c:v>0.025</c:v>
                </c:pt>
                <c:pt idx="1">
                  <c:v>0.058</c:v>
                </c:pt>
                <c:pt idx="2">
                  <c:v>0.103</c:v>
                </c:pt>
                <c:pt idx="3">
                  <c:v>0.127</c:v>
                </c:pt>
                <c:pt idx="4">
                  <c:v>0.11</c:v>
                </c:pt>
                <c:pt idx="5">
                  <c:v>0.136</c:v>
                </c:pt>
                <c:pt idx="6">
                  <c:v>0.031</c:v>
                </c:pt>
                <c:pt idx="7">
                  <c:v>0.056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'[11季度数据公开增速走势图（模板）.xlsx]工业'!$A$3</c:f>
              <c:strCache>
                <c:ptCount val="1"/>
                <c:pt idx="0">
                  <c:v>两江新区直管区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'[11季度数据公开增速走势图（模板）.xlsx]工业'!$B$1:$I$1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'[11季度数据公开增速走势图（模板）.xlsx]工业'!$B$3:$I$3</c:f>
              <c:numCache>
                <c:formatCode>0.000_ </c:formatCode>
                <c:ptCount val="8"/>
                <c:pt idx="0">
                  <c:v>0.022</c:v>
                </c:pt>
                <c:pt idx="1">
                  <c:v>0.054</c:v>
                </c:pt>
                <c:pt idx="2">
                  <c:v>0.123</c:v>
                </c:pt>
                <c:pt idx="3">
                  <c:v>0.169</c:v>
                </c:pt>
                <c:pt idx="4">
                  <c:v>0.164</c:v>
                </c:pt>
                <c:pt idx="5">
                  <c:v>0.189</c:v>
                </c:pt>
                <c:pt idx="6">
                  <c:v>0.033</c:v>
                </c:pt>
                <c:pt idx="7">
                  <c:v>0.084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90496"/>
        <c:axId val="46108672"/>
      </c:lineChart>
      <c:dateAx>
        <c:axId val="4609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0"/>
        <c:lblAlgn val="ctr"/>
        <c:lblOffset val="1000"/>
        <c:baseTimeUnit val="days"/>
      </c:dateAx>
      <c:valAx>
        <c:axId val="4610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8832173716726"/>
          <c:y val="0.84784805011113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9d909d8-0544-4356-9aa0-eebcad6c0f7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图3：两江新区商贸相关指标增速走势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02769535113748"/>
          <c:y val="0.176228343922827"/>
          <c:w val="0.956478733926805"/>
          <c:h val="0.64052420530767"/>
        </c:manualLayout>
      </c:layout>
      <c:lineChart>
        <c:grouping val="standard"/>
        <c:varyColors val="0"/>
        <c:ser>
          <c:idx val="0"/>
          <c:order val="0"/>
          <c:tx>
            <c:strRef>
              <c:f>'[11季度数据公开增速走势图（模板）.xlsx]社零'!$A$2</c:f>
              <c:strCache>
                <c:ptCount val="1"/>
                <c:pt idx="0">
                  <c:v>社会消费品零售总额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'[11季度数据公开增速走势图（模板）.xlsx]社零'!$B$1:$I$1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'[11季度数据公开增速走势图（模板）.xlsx]社零'!$B$2:$I$2</c:f>
              <c:numCache>
                <c:formatCode>0.000_ </c:formatCode>
                <c:ptCount val="8"/>
                <c:pt idx="0">
                  <c:v>0.09</c:v>
                </c:pt>
                <c:pt idx="1">
                  <c:v>0.107</c:v>
                </c:pt>
                <c:pt idx="2">
                  <c:v>0.045</c:v>
                </c:pt>
                <c:pt idx="3">
                  <c:v>0.001</c:v>
                </c:pt>
                <c:pt idx="4">
                  <c:v>0.022</c:v>
                </c:pt>
                <c:pt idx="5">
                  <c:v>0.036</c:v>
                </c:pt>
                <c:pt idx="6">
                  <c:v>0.062</c:v>
                </c:pt>
                <c:pt idx="7">
                  <c:v>0.071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'[11季度数据公开增速走势图（模板）.xlsx]社零'!$A$3</c:f>
              <c:strCache>
                <c:ptCount val="1"/>
                <c:pt idx="0">
                  <c:v>批发业销售额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'[11季度数据公开增速走势图（模板）.xlsx]社零'!$B$1:$I$1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'[11季度数据公开增速走势图（模板）.xlsx]社零'!$B$3:$I$3</c:f>
              <c:numCache>
                <c:formatCode>0.000_ </c:formatCode>
                <c:ptCount val="8"/>
                <c:pt idx="0">
                  <c:v>0.147</c:v>
                </c:pt>
                <c:pt idx="1">
                  <c:v>0.167</c:v>
                </c:pt>
                <c:pt idx="2">
                  <c:v>0.182</c:v>
                </c:pt>
                <c:pt idx="3">
                  <c:v>0.223</c:v>
                </c:pt>
                <c:pt idx="4">
                  <c:v>0.226</c:v>
                </c:pt>
                <c:pt idx="5">
                  <c:v>0.244</c:v>
                </c:pt>
                <c:pt idx="6">
                  <c:v>0.047</c:v>
                </c:pt>
                <c:pt idx="7">
                  <c:v>0.084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'[11季度数据公开增速走势图（模板）.xlsx]社零'!$A$4</c:f>
              <c:strCache>
                <c:ptCount val="1"/>
                <c:pt idx="0">
                  <c:v>零售业销售额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'[11季度数据公开增速走势图（模板）.xlsx]社零'!$B$1:$I$1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'[11季度数据公开增速走势图（模板）.xlsx]社零'!$B$4:$I$4</c:f>
              <c:numCache>
                <c:formatCode>0.000_ </c:formatCode>
                <c:ptCount val="8"/>
                <c:pt idx="0">
                  <c:v>0.127</c:v>
                </c:pt>
                <c:pt idx="1">
                  <c:v>0.162</c:v>
                </c:pt>
                <c:pt idx="2">
                  <c:v>0.127</c:v>
                </c:pt>
                <c:pt idx="3">
                  <c:v>0.107</c:v>
                </c:pt>
                <c:pt idx="4">
                  <c:v>0.15</c:v>
                </c:pt>
                <c:pt idx="5">
                  <c:v>0.101</c:v>
                </c:pt>
                <c:pt idx="6">
                  <c:v>0.022</c:v>
                </c:pt>
                <c:pt idx="7">
                  <c:v>0.068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90496"/>
        <c:axId val="46108672"/>
      </c:lineChart>
      <c:dateAx>
        <c:axId val="4609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0"/>
        <c:lblAlgn val="ctr"/>
        <c:lblOffset val="1000"/>
        <c:baseTimeUnit val="days"/>
      </c:dateAx>
      <c:valAx>
        <c:axId val="46108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436200562364"/>
          <c:y val="0.84331204557512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9d909d8-0544-4356-9aa0-eebcad6c0f7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</a:t>
            </a:r>
            <a:r>
              <a:rPr lang="en-US" altLang="zh-CN"/>
              <a:t>4</a:t>
            </a:r>
            <a:r>
              <a:rPr lang="zh-CN" altLang="en-US"/>
              <a:t>：两江新区投资相关指标增速走势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3038219641993"/>
          <c:y val="0.179259259259259"/>
          <c:w val="0.956478733926805"/>
          <c:h val="0.64052420530767"/>
        </c:manualLayout>
      </c:layout>
      <c:lineChart>
        <c:grouping val="standard"/>
        <c:varyColors val="0"/>
        <c:ser>
          <c:idx val="2"/>
          <c:order val="0"/>
          <c:tx>
            <c:strRef>
              <c:f>'[11季度数据公开增速走势图（模板）.xlsx]固投'!$A$2</c:f>
              <c:strCache>
                <c:ptCount val="1"/>
                <c:pt idx="0">
                  <c:v>固定资产投资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gradFill>
                <a:gsLst>
                  <a:gs pos="0">
                    <a:srgbClr val="14CD68"/>
                  </a:gs>
                  <a:gs pos="100000">
                    <a:srgbClr val="0B6E38"/>
                  </a:gs>
                </a:gsLst>
                <a:path path="circle"/>
              </a:gradFill>
              <a:ln w="9525">
                <a:solidFill>
                  <a:schemeClr val="accent3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'[11季度数据公开增速走势图（模板）.xlsx]固投'!$B$1:$I$1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'[11季度数据公开增速走势图（模板）.xlsx]固投'!$B$2:$I$2</c:f>
              <c:numCache>
                <c:formatCode>0.000_ </c:formatCode>
                <c:ptCount val="8"/>
                <c:pt idx="0">
                  <c:v>-0.104</c:v>
                </c:pt>
                <c:pt idx="1">
                  <c:v>-0.058</c:v>
                </c:pt>
                <c:pt idx="2">
                  <c:v>-0.056</c:v>
                </c:pt>
                <c:pt idx="3">
                  <c:v>-0.11</c:v>
                </c:pt>
                <c:pt idx="4">
                  <c:v>-0.168</c:v>
                </c:pt>
                <c:pt idx="5">
                  <c:v>-0.184</c:v>
                </c:pt>
                <c:pt idx="6">
                  <c:v>0.093</c:v>
                </c:pt>
                <c:pt idx="7">
                  <c:v>0.036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'[11季度数据公开增速走势图（模板）.xlsx]固投'!$A$3</c:f>
              <c:strCache>
                <c:ptCount val="1"/>
                <c:pt idx="0">
                  <c:v>工业投资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'[11季度数据公开增速走势图（模板）.xlsx]固投'!$B$1:$I$1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'[11季度数据公开增速走势图（模板）.xlsx]固投'!$B$3:$I$3</c:f>
              <c:numCache>
                <c:formatCode>0.000_ </c:formatCode>
                <c:ptCount val="8"/>
                <c:pt idx="0">
                  <c:v>0.054</c:v>
                </c:pt>
                <c:pt idx="1">
                  <c:v>0.054</c:v>
                </c:pt>
                <c:pt idx="2">
                  <c:v>-0.052</c:v>
                </c:pt>
                <c:pt idx="3">
                  <c:v>-0.195</c:v>
                </c:pt>
                <c:pt idx="4">
                  <c:v>-0.153</c:v>
                </c:pt>
                <c:pt idx="5">
                  <c:v>-0.138</c:v>
                </c:pt>
                <c:pt idx="6">
                  <c:v>0.087</c:v>
                </c:pt>
                <c:pt idx="7">
                  <c:v>0.18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90496"/>
        <c:axId val="46108672"/>
      </c:lineChart>
      <c:dateAx>
        <c:axId val="4609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0"/>
        <c:lblAlgn val="ctr"/>
        <c:lblOffset val="250"/>
        <c:baseTimeUnit val="days"/>
      </c:dateAx>
      <c:valAx>
        <c:axId val="46108672"/>
        <c:scaling>
          <c:orientation val="minMax"/>
          <c:max val="0.2"/>
          <c:min val="-0.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faa5ae8-a985-4de0-be4f-7d6337192b1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图5：一般公共预算收入增速走势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3038219641993"/>
          <c:y val="0.179259259259259"/>
          <c:w val="0.956478733926805"/>
          <c:h val="0.64052420530767"/>
        </c:manualLayout>
      </c:layout>
      <c:lineChart>
        <c:grouping val="standard"/>
        <c:varyColors val="0"/>
        <c:ser>
          <c:idx val="2"/>
          <c:order val="0"/>
          <c:tx>
            <c:strRef>
              <c:f>'[11季度数据公开增速走势图（模板）.xlsx]收入'!$A$2</c:f>
              <c:strCache>
                <c:ptCount val="1"/>
                <c:pt idx="0">
                  <c:v>两江新区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gradFill>
                <a:gsLst>
                  <a:gs pos="0">
                    <a:srgbClr val="14CD68"/>
                  </a:gs>
                  <a:gs pos="100000">
                    <a:srgbClr val="0B6E38"/>
                  </a:gs>
                </a:gsLst>
                <a:path path="circle"/>
              </a:gradFill>
              <a:ln w="9525">
                <a:solidFill>
                  <a:schemeClr val="accent3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'[11季度数据公开增速走势图（模板）.xlsx]收入'!$B$1:$I$1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'[11季度数据公开增速走势图（模板）.xlsx]收入'!$B$2:$I$2</c:f>
              <c:numCache>
                <c:formatCode>0.000_ </c:formatCode>
                <c:ptCount val="8"/>
                <c:pt idx="0">
                  <c:v>0.053</c:v>
                </c:pt>
                <c:pt idx="1">
                  <c:v>0.119</c:v>
                </c:pt>
                <c:pt idx="2">
                  <c:v>0.056</c:v>
                </c:pt>
                <c:pt idx="3">
                  <c:v>0.005</c:v>
                </c:pt>
                <c:pt idx="4">
                  <c:v>-0.034</c:v>
                </c:pt>
                <c:pt idx="5">
                  <c:v>-0.024</c:v>
                </c:pt>
                <c:pt idx="6">
                  <c:v>0.048</c:v>
                </c:pt>
                <c:pt idx="7">
                  <c:v>0.06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'[11季度数据公开增速走势图（模板）.xlsx]收入'!$A$3</c:f>
              <c:strCache>
                <c:ptCount val="1"/>
                <c:pt idx="0">
                  <c:v>两江新区直管区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delete val="1"/>
          </c:dLbls>
          <c:cat>
            <c:strRef>
              <c:f>'[11季度数据公开增速走势图（模板）.xlsx]收入'!$B$1:$I$1</c:f>
              <c:strCache>
                <c:ptCount val="8"/>
                <c:pt idx="0">
                  <c:v>2023Q3</c:v>
                </c:pt>
                <c:pt idx="1">
                  <c:v>2023Q4</c:v>
                </c:pt>
                <c:pt idx="2">
                  <c:v>2024Q1</c:v>
                </c:pt>
                <c:pt idx="3">
                  <c:v>2024Q2</c:v>
                </c:pt>
                <c:pt idx="4">
                  <c:v>2024Q3</c:v>
                </c:pt>
                <c:pt idx="5">
                  <c:v>2024Q4</c:v>
                </c:pt>
                <c:pt idx="6">
                  <c:v>2025Q1</c:v>
                </c:pt>
                <c:pt idx="7">
                  <c:v>2025Q2</c:v>
                </c:pt>
              </c:strCache>
            </c:strRef>
          </c:cat>
          <c:val>
            <c:numRef>
              <c:f>'[11季度数据公开增速走势图（模板）.xlsx]收入'!$B$3:$I$3</c:f>
              <c:numCache>
                <c:formatCode>0.000_ </c:formatCode>
                <c:ptCount val="8"/>
                <c:pt idx="0">
                  <c:v>0.087</c:v>
                </c:pt>
                <c:pt idx="1">
                  <c:v>0.093</c:v>
                </c:pt>
                <c:pt idx="2">
                  <c:v>0.05</c:v>
                </c:pt>
                <c:pt idx="3">
                  <c:v>-0.058</c:v>
                </c:pt>
                <c:pt idx="4">
                  <c:v>-0.073</c:v>
                </c:pt>
                <c:pt idx="5">
                  <c:v>0.008</c:v>
                </c:pt>
                <c:pt idx="6">
                  <c:v>0.07</c:v>
                </c:pt>
                <c:pt idx="7">
                  <c:v>0.11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90496"/>
        <c:axId val="46108672"/>
      </c:lineChart>
      <c:dateAx>
        <c:axId val="4609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0" spcFirstLastPara="0" vertOverflow="ellipsis" vert="horz" wrap="square" anchor="b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108672"/>
        <c:crosses val="autoZero"/>
        <c:auto val="0"/>
        <c:lblAlgn val="ctr"/>
        <c:lblOffset val="250"/>
        <c:baseTimeUnit val="days"/>
      </c:dateAx>
      <c:valAx>
        <c:axId val="46108672"/>
        <c:scaling>
          <c:orientation val="minMax"/>
          <c:max val="0.2"/>
          <c:min val="-0.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0" vertOverflow="ellipsis" vert="horz" wrap="square" anchor="t" anchorCtr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09049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faa5ae8-a985-4de0-be4f-7d6337192b1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452</Words>
  <Characters>650</Characters>
  <Lines>4</Lines>
  <Paragraphs>1</Paragraphs>
  <TotalTime>17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2022-06-14T09:24:00Z</dcterms:created>
  <dc:creator>陈晓溪</dc:creator>
  <cp:lastModifiedBy>冰糖雪梨</cp:lastModifiedBy>
  <cp:lastPrinted>2025-07-09T08:12:00Z</cp:lastPrinted>
  <dcterms:modified xsi:type="dcterms:W3CDTF">2025-08-22T06:33:13Z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eyJoZGlkIjoiNjNkZWQ0ZTYxMmVkMDcwNzUwYTc0M2Q5ZDc1YmU3YmQiLCJ1c2VySWQiOiIxNDc3Njg0OTUyIn0=</vt:lpwstr>
  </property>
  <property fmtid="{D5CDD505-2E9C-101B-9397-08002B2CF9AE}" pid="4" name="ICV">
    <vt:lpwstr>4D8B6FCF6E71482D84C059703DD3C764_12</vt:lpwstr>
  </property>
</Properties>
</file>