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B0A459B">
      <w:pPr>
        <w:jc w:val="center"/>
        <w:rPr>
          <w:rFonts w:ascii="方正仿宋_GBK" w:eastAsia="方正仿宋_GBK"/>
        </w:rPr>
      </w:pPr>
      <w:bookmarkStart w:id="178" w:name="_GoBack"/>
      <w:bookmarkEnd w:id="178"/>
    </w:p>
    <w:p w14:paraId="25AAC8D1">
      <w:pPr>
        <w:jc w:val="center"/>
        <w:rPr>
          <w:rFonts w:ascii="方正仿宋_GBK" w:eastAsia="方正仿宋_GBK"/>
        </w:rPr>
      </w:pPr>
    </w:p>
    <w:p w14:paraId="34613127">
      <w:pPr>
        <w:spacing w:line="600" w:lineRule="exact"/>
        <w:jc w:val="center"/>
        <w:rPr>
          <w:rFonts w:ascii="方正仿宋_GBK" w:eastAsia="方正仿宋_GBK"/>
        </w:rPr>
      </w:pPr>
    </w:p>
    <w:p w14:paraId="2AD0F45B">
      <w:pPr>
        <w:spacing w:line="600" w:lineRule="exact"/>
        <w:jc w:val="center"/>
        <w:rPr>
          <w:rFonts w:ascii="方正小标宋_GBK" w:eastAsia="方正小标宋_GBK"/>
          <w:sz w:val="48"/>
          <w:szCs w:val="48"/>
        </w:rPr>
      </w:pPr>
      <w:r>
        <w:rPr>
          <w:rFonts w:hint="eastAsia" w:ascii="方正小标宋_GBK" w:eastAsia="方正小标宋_GBK"/>
          <w:sz w:val="48"/>
          <w:szCs w:val="48"/>
        </w:rPr>
        <w:t>重庆两江新区</w:t>
      </w:r>
    </w:p>
    <w:p w14:paraId="382631C4">
      <w:pPr>
        <w:spacing w:line="600" w:lineRule="exact"/>
        <w:jc w:val="center"/>
        <w:rPr>
          <w:rFonts w:ascii="方正仿宋_GBK" w:eastAsia="方正仿宋_GBK"/>
          <w:sz w:val="48"/>
          <w:szCs w:val="48"/>
        </w:rPr>
      </w:pPr>
      <w:r>
        <w:rPr>
          <w:rFonts w:hint="eastAsia" w:ascii="方正小标宋_GBK" w:eastAsia="方正小标宋_GBK"/>
          <w:sz w:val="48"/>
          <w:szCs w:val="48"/>
        </w:rPr>
        <w:t>“十四五”应急管理专项规划</w:t>
      </w:r>
    </w:p>
    <w:p w14:paraId="70C03509">
      <w:pPr>
        <w:spacing w:line="600" w:lineRule="exact"/>
        <w:rPr>
          <w:rFonts w:ascii="方正仿宋_GBK" w:eastAsia="方正仿宋_GBK"/>
        </w:rPr>
      </w:pPr>
      <w:r>
        <w:rPr>
          <w:rFonts w:hint="eastAsia" w:ascii="方正仿宋_GBK" w:eastAsia="方正仿宋_GBK"/>
        </w:rPr>
        <w:t xml:space="preserve">                    </w:t>
      </w:r>
    </w:p>
    <w:p w14:paraId="291239F5">
      <w:pPr>
        <w:jc w:val="center"/>
        <w:rPr>
          <w:rFonts w:ascii="方正楷体_GBK" w:eastAsia="方正楷体_GBK"/>
          <w:sz w:val="36"/>
          <w:szCs w:val="36"/>
        </w:rPr>
      </w:pPr>
      <w:r>
        <w:rPr>
          <w:rFonts w:hint="eastAsia" w:ascii="方正楷体_GBK" w:eastAsia="方正楷体_GBK"/>
          <w:sz w:val="36"/>
          <w:szCs w:val="36"/>
        </w:rPr>
        <w:t xml:space="preserve"> （2021-2025年）</w:t>
      </w:r>
    </w:p>
    <w:p w14:paraId="00F8EB0F">
      <w:pPr>
        <w:jc w:val="center"/>
        <w:rPr>
          <w:rFonts w:ascii="方正仿宋_GBK" w:eastAsia="方正仿宋_GBK"/>
        </w:rPr>
      </w:pPr>
    </w:p>
    <w:p w14:paraId="52D6BB43">
      <w:pPr>
        <w:jc w:val="center"/>
        <w:rPr>
          <w:rFonts w:ascii="方正仿宋_GBK" w:eastAsia="方正仿宋_GBK"/>
        </w:rPr>
      </w:pPr>
    </w:p>
    <w:p w14:paraId="47BA62D5">
      <w:pPr>
        <w:jc w:val="center"/>
        <w:rPr>
          <w:rFonts w:ascii="方正仿宋_GBK" w:eastAsia="方正仿宋_GBK"/>
        </w:rPr>
      </w:pPr>
    </w:p>
    <w:p w14:paraId="21536708">
      <w:pPr>
        <w:jc w:val="center"/>
        <w:rPr>
          <w:rFonts w:ascii="方正仿宋_GBK" w:eastAsia="方正仿宋_GBK"/>
        </w:rPr>
      </w:pPr>
    </w:p>
    <w:p w14:paraId="271ADA04">
      <w:pPr>
        <w:jc w:val="center"/>
        <w:rPr>
          <w:rFonts w:ascii="方正仿宋_GBK" w:eastAsia="方正仿宋_GBK"/>
        </w:rPr>
      </w:pPr>
    </w:p>
    <w:p w14:paraId="4E212878">
      <w:pPr>
        <w:jc w:val="center"/>
        <w:rPr>
          <w:rFonts w:ascii="方正仿宋_GBK" w:eastAsia="方正仿宋_GBK"/>
        </w:rPr>
      </w:pPr>
    </w:p>
    <w:p w14:paraId="3CB2BFF6">
      <w:pPr>
        <w:jc w:val="center"/>
        <w:rPr>
          <w:rFonts w:ascii="方正仿宋_GBK" w:eastAsia="方正仿宋_GBK"/>
        </w:rPr>
      </w:pPr>
    </w:p>
    <w:p w14:paraId="48D9EA09">
      <w:pPr>
        <w:jc w:val="center"/>
        <w:rPr>
          <w:rFonts w:ascii="方正仿宋_GBK" w:eastAsia="方正仿宋_GBK"/>
        </w:rPr>
      </w:pPr>
    </w:p>
    <w:p w14:paraId="273F25E5">
      <w:pPr>
        <w:jc w:val="center"/>
        <w:rPr>
          <w:rFonts w:ascii="方正仿宋_GBK" w:eastAsia="方正仿宋_GBK"/>
        </w:rPr>
      </w:pPr>
    </w:p>
    <w:p w14:paraId="13A9CC99">
      <w:pPr>
        <w:jc w:val="center"/>
        <w:rPr>
          <w:rFonts w:ascii="方正仿宋_GBK" w:eastAsia="方正仿宋_GBK"/>
        </w:rPr>
      </w:pPr>
    </w:p>
    <w:p w14:paraId="1BF352AA">
      <w:pPr>
        <w:jc w:val="center"/>
        <w:rPr>
          <w:rFonts w:ascii="方正仿宋_GBK" w:eastAsia="方正仿宋_GBK"/>
        </w:rPr>
      </w:pPr>
    </w:p>
    <w:p w14:paraId="0B660B10">
      <w:pPr>
        <w:jc w:val="center"/>
        <w:rPr>
          <w:rFonts w:ascii="方正仿宋_GBK" w:eastAsia="方正仿宋_GBK"/>
        </w:rPr>
      </w:pPr>
    </w:p>
    <w:p w14:paraId="6FE71E80">
      <w:pPr>
        <w:jc w:val="center"/>
        <w:rPr>
          <w:rFonts w:ascii="方正仿宋_GBK" w:eastAsia="方正仿宋_GBK"/>
          <w:szCs w:val="32"/>
        </w:rPr>
      </w:pPr>
      <w:r>
        <w:rPr>
          <w:rFonts w:hint="eastAsia" w:ascii="方正仿宋_GBK" w:eastAsia="方正仿宋_GBK"/>
          <w:szCs w:val="32"/>
        </w:rPr>
        <w:t>重庆两江新区管理委员会</w:t>
      </w:r>
    </w:p>
    <w:p w14:paraId="640FCE0D">
      <w:pPr>
        <w:spacing w:line="360" w:lineRule="auto"/>
        <w:jc w:val="center"/>
        <w:rPr>
          <w:rFonts w:ascii="方正仿宋_GBK" w:eastAsia="方正仿宋_GBK"/>
          <w:szCs w:val="32"/>
        </w:rPr>
      </w:pPr>
      <w:r>
        <w:rPr>
          <w:rFonts w:hint="eastAsia" w:ascii="方正仿宋_GBK" w:eastAsia="方正仿宋_GBK"/>
          <w:szCs w:val="32"/>
        </w:rPr>
        <w:t>202</w:t>
      </w:r>
      <w:r>
        <w:rPr>
          <w:rFonts w:ascii="方正仿宋_GBK" w:eastAsia="方正仿宋_GBK"/>
          <w:szCs w:val="32"/>
        </w:rPr>
        <w:t>1</w:t>
      </w:r>
      <w:r>
        <w:rPr>
          <w:rFonts w:hint="eastAsia" w:ascii="方正仿宋_GBK" w:eastAsia="方正仿宋_GBK"/>
          <w:szCs w:val="32"/>
        </w:rPr>
        <w:t>年12月</w:t>
      </w:r>
    </w:p>
    <w:p w14:paraId="1C29CC23">
      <w:pPr>
        <w:widowControl/>
        <w:jc w:val="left"/>
        <w:rPr>
          <w:rFonts w:ascii="方正仿宋_GBK" w:eastAsia="方正仿宋_GBK"/>
        </w:rPr>
      </w:pPr>
      <w:r>
        <w:rPr>
          <w:rFonts w:ascii="方正仿宋_GBK" w:eastAsia="方正仿宋_GBK"/>
        </w:rPr>
        <w:br w:type="page"/>
      </w:r>
    </w:p>
    <w:p w14:paraId="6F622A9B">
      <w:pPr>
        <w:jc w:val="center"/>
        <w:rPr>
          <w:rFonts w:ascii="方正黑体_GBK" w:eastAsia="方正黑体_GBK"/>
          <w:bCs/>
          <w:sz w:val="36"/>
          <w:szCs w:val="36"/>
        </w:rPr>
      </w:pPr>
      <w:r>
        <w:rPr>
          <w:rFonts w:hint="eastAsia" w:ascii="方正黑体_GBK" w:eastAsia="方正黑体_GBK"/>
          <w:bCs/>
          <w:sz w:val="36"/>
          <w:szCs w:val="36"/>
        </w:rPr>
        <w:t>目  录</w:t>
      </w:r>
    </w:p>
    <w:p w14:paraId="186FD46C">
      <w:pPr>
        <w:pStyle w:val="28"/>
        <w:spacing w:line="360" w:lineRule="exact"/>
        <w:rPr>
          <w:rFonts w:hAnsiTheme="minorHAnsi" w:eastAsiaTheme="minorEastAsia" w:cstheme="minorBidi"/>
          <w:b w:val="0"/>
          <w:bCs w:val="0"/>
          <w:caps w:val="0"/>
          <w:sz w:val="21"/>
          <w:szCs w:val="22"/>
        </w:rPr>
      </w:pPr>
      <w:r>
        <w:rPr>
          <w:rFonts w:ascii="方正仿宋_GBK" w:hAnsi="仿宋" w:eastAsia="方正仿宋_GBK"/>
          <w:sz w:val="24"/>
          <w:szCs w:val="24"/>
        </w:rPr>
        <w:fldChar w:fldCharType="begin"/>
      </w:r>
      <w:r>
        <w:rPr>
          <w:rFonts w:ascii="方正仿宋_GBK" w:hAnsi="仿宋" w:eastAsia="方正仿宋_GBK"/>
          <w:sz w:val="24"/>
          <w:szCs w:val="24"/>
        </w:rPr>
        <w:instrText xml:space="preserve"> TOC \o "1-3" \h \z \u </w:instrText>
      </w:r>
      <w:r>
        <w:rPr>
          <w:rFonts w:ascii="方正仿宋_GBK" w:hAnsi="仿宋" w:eastAsia="方正仿宋_GBK"/>
          <w:sz w:val="24"/>
          <w:szCs w:val="24"/>
        </w:rPr>
        <w:fldChar w:fldCharType="separate"/>
      </w:r>
      <w:r>
        <w:fldChar w:fldCharType="begin"/>
      </w:r>
      <w:r>
        <w:instrText xml:space="preserve"> HYPERLINK \l "_Toc87275307" </w:instrText>
      </w:r>
      <w:r>
        <w:fldChar w:fldCharType="separate"/>
      </w:r>
      <w:r>
        <w:rPr>
          <w:rStyle w:val="42"/>
          <w:rFonts w:hint="eastAsia" w:ascii="方正黑体_GBK" w:eastAsia="方正黑体_GBK"/>
          <w:kern w:val="44"/>
        </w:rPr>
        <w:t>一、“十三五”时期建设成效和不足</w:t>
      </w:r>
      <w:r>
        <w:tab/>
      </w:r>
      <w:r>
        <w:fldChar w:fldCharType="begin"/>
      </w:r>
      <w:r>
        <w:instrText xml:space="preserve"> PAGEREF _Toc87275307 \h </w:instrText>
      </w:r>
      <w:r>
        <w:fldChar w:fldCharType="separate"/>
      </w:r>
      <w:r>
        <w:t>1</w:t>
      </w:r>
      <w:r>
        <w:fldChar w:fldCharType="end"/>
      </w:r>
      <w:r>
        <w:fldChar w:fldCharType="end"/>
      </w:r>
    </w:p>
    <w:p w14:paraId="7E7A089E">
      <w:pPr>
        <w:pStyle w:val="32"/>
        <w:tabs>
          <w:tab w:val="right" w:leader="dot" w:pos="8290"/>
        </w:tabs>
        <w:spacing w:line="360" w:lineRule="exact"/>
        <w:rPr>
          <w:rFonts w:hAnsiTheme="minorHAnsi" w:eastAsiaTheme="minorEastAsia" w:cstheme="minorBidi"/>
          <w:smallCaps w:val="0"/>
          <w:sz w:val="21"/>
          <w:szCs w:val="22"/>
        </w:rPr>
      </w:pPr>
      <w:r>
        <w:fldChar w:fldCharType="begin"/>
      </w:r>
      <w:r>
        <w:instrText xml:space="preserve"> HYPERLINK \l "_Toc87275308" </w:instrText>
      </w:r>
      <w:r>
        <w:fldChar w:fldCharType="separate"/>
      </w:r>
      <w:r>
        <w:rPr>
          <w:rStyle w:val="42"/>
          <w:rFonts w:hint="eastAsia" w:ascii="方正楷体_GBK" w:eastAsia="方正楷体_GBK"/>
          <w:bCs/>
        </w:rPr>
        <w:t>（一）建设成效</w:t>
      </w:r>
      <w:r>
        <w:tab/>
      </w:r>
      <w:r>
        <w:fldChar w:fldCharType="begin"/>
      </w:r>
      <w:r>
        <w:instrText xml:space="preserve"> PAGEREF _Toc87275308 \h </w:instrText>
      </w:r>
      <w:r>
        <w:fldChar w:fldCharType="separate"/>
      </w:r>
      <w:r>
        <w:t>1</w:t>
      </w:r>
      <w:r>
        <w:fldChar w:fldCharType="end"/>
      </w:r>
      <w:r>
        <w:fldChar w:fldCharType="end"/>
      </w:r>
    </w:p>
    <w:p w14:paraId="06ADA0E8">
      <w:pPr>
        <w:pStyle w:val="32"/>
        <w:tabs>
          <w:tab w:val="right" w:leader="dot" w:pos="8290"/>
        </w:tabs>
        <w:spacing w:line="360" w:lineRule="exact"/>
        <w:rPr>
          <w:rFonts w:hAnsiTheme="minorHAnsi" w:eastAsiaTheme="minorEastAsia" w:cstheme="minorBidi"/>
          <w:smallCaps w:val="0"/>
          <w:sz w:val="21"/>
          <w:szCs w:val="22"/>
        </w:rPr>
      </w:pPr>
      <w:r>
        <w:fldChar w:fldCharType="begin"/>
      </w:r>
      <w:r>
        <w:instrText xml:space="preserve"> HYPERLINK \l "_Toc87275309" </w:instrText>
      </w:r>
      <w:r>
        <w:fldChar w:fldCharType="separate"/>
      </w:r>
      <w:r>
        <w:rPr>
          <w:rStyle w:val="42"/>
          <w:rFonts w:hint="eastAsia" w:ascii="方正楷体_GBK" w:eastAsia="方正楷体_GBK"/>
          <w:bCs/>
        </w:rPr>
        <w:t>（二）主要不足</w:t>
      </w:r>
      <w:r>
        <w:tab/>
      </w:r>
      <w:r>
        <w:fldChar w:fldCharType="begin"/>
      </w:r>
      <w:r>
        <w:instrText xml:space="preserve"> PAGEREF _Toc87275309 \h </w:instrText>
      </w:r>
      <w:r>
        <w:fldChar w:fldCharType="separate"/>
      </w:r>
      <w:r>
        <w:t>6</w:t>
      </w:r>
      <w:r>
        <w:fldChar w:fldCharType="end"/>
      </w:r>
      <w:r>
        <w:fldChar w:fldCharType="end"/>
      </w:r>
    </w:p>
    <w:p w14:paraId="016E29F0">
      <w:pPr>
        <w:pStyle w:val="28"/>
        <w:spacing w:line="360" w:lineRule="exact"/>
        <w:rPr>
          <w:rFonts w:hAnsiTheme="minorHAnsi" w:eastAsiaTheme="minorEastAsia" w:cstheme="minorBidi"/>
          <w:b w:val="0"/>
          <w:bCs w:val="0"/>
          <w:caps w:val="0"/>
          <w:sz w:val="21"/>
          <w:szCs w:val="22"/>
        </w:rPr>
      </w:pPr>
      <w:r>
        <w:fldChar w:fldCharType="begin"/>
      </w:r>
      <w:r>
        <w:instrText xml:space="preserve"> HYPERLINK \l "_Toc87275310" </w:instrText>
      </w:r>
      <w:r>
        <w:fldChar w:fldCharType="separate"/>
      </w:r>
      <w:r>
        <w:rPr>
          <w:rStyle w:val="42"/>
          <w:rFonts w:hint="eastAsia" w:ascii="方正黑体_GBK" w:eastAsia="方正黑体_GBK"/>
          <w:kern w:val="44"/>
        </w:rPr>
        <w:t>二、“十四五”时期面临的机遇和挑战</w:t>
      </w:r>
      <w:r>
        <w:tab/>
      </w:r>
      <w:r>
        <w:fldChar w:fldCharType="begin"/>
      </w:r>
      <w:r>
        <w:instrText xml:space="preserve"> PAGEREF _Toc87275310 \h </w:instrText>
      </w:r>
      <w:r>
        <w:fldChar w:fldCharType="separate"/>
      </w:r>
      <w:r>
        <w:t>8</w:t>
      </w:r>
      <w:r>
        <w:fldChar w:fldCharType="end"/>
      </w:r>
      <w:r>
        <w:fldChar w:fldCharType="end"/>
      </w:r>
    </w:p>
    <w:p w14:paraId="02857B65">
      <w:pPr>
        <w:pStyle w:val="32"/>
        <w:tabs>
          <w:tab w:val="right" w:leader="dot" w:pos="8290"/>
        </w:tabs>
        <w:spacing w:line="360" w:lineRule="exact"/>
        <w:rPr>
          <w:rFonts w:hAnsiTheme="minorHAnsi" w:eastAsiaTheme="minorEastAsia" w:cstheme="minorBidi"/>
          <w:smallCaps w:val="0"/>
          <w:sz w:val="21"/>
          <w:szCs w:val="22"/>
        </w:rPr>
      </w:pPr>
      <w:r>
        <w:fldChar w:fldCharType="begin"/>
      </w:r>
      <w:r>
        <w:instrText xml:space="preserve"> HYPERLINK \l "_Toc87275311" </w:instrText>
      </w:r>
      <w:r>
        <w:fldChar w:fldCharType="separate"/>
      </w:r>
      <w:r>
        <w:rPr>
          <w:rStyle w:val="42"/>
          <w:rFonts w:hint="eastAsia" w:ascii="方正楷体_GBK" w:eastAsia="方正楷体_GBK"/>
          <w:bCs/>
        </w:rPr>
        <w:t>（一）面临的机遇</w:t>
      </w:r>
      <w:r>
        <w:tab/>
      </w:r>
      <w:r>
        <w:fldChar w:fldCharType="begin"/>
      </w:r>
      <w:r>
        <w:instrText xml:space="preserve"> PAGEREF _Toc87275311 \h </w:instrText>
      </w:r>
      <w:r>
        <w:fldChar w:fldCharType="separate"/>
      </w:r>
      <w:r>
        <w:t>8</w:t>
      </w:r>
      <w:r>
        <w:fldChar w:fldCharType="end"/>
      </w:r>
      <w:r>
        <w:fldChar w:fldCharType="end"/>
      </w:r>
    </w:p>
    <w:p w14:paraId="363A8E06">
      <w:pPr>
        <w:pStyle w:val="32"/>
        <w:tabs>
          <w:tab w:val="right" w:leader="dot" w:pos="8290"/>
        </w:tabs>
        <w:spacing w:line="360" w:lineRule="exact"/>
        <w:rPr>
          <w:rFonts w:hAnsiTheme="minorHAnsi" w:eastAsiaTheme="minorEastAsia" w:cstheme="minorBidi"/>
          <w:smallCaps w:val="0"/>
          <w:sz w:val="21"/>
          <w:szCs w:val="22"/>
        </w:rPr>
      </w:pPr>
      <w:r>
        <w:fldChar w:fldCharType="begin"/>
      </w:r>
      <w:r>
        <w:instrText xml:space="preserve"> HYPERLINK \l "_Toc87275312" </w:instrText>
      </w:r>
      <w:r>
        <w:fldChar w:fldCharType="separate"/>
      </w:r>
      <w:r>
        <w:rPr>
          <w:rStyle w:val="42"/>
          <w:rFonts w:hint="eastAsia" w:ascii="方正楷体_GBK" w:eastAsia="方正楷体_GBK"/>
          <w:bCs/>
        </w:rPr>
        <w:t>（二）面临的挑战</w:t>
      </w:r>
      <w:r>
        <w:tab/>
      </w:r>
      <w:r>
        <w:fldChar w:fldCharType="begin"/>
      </w:r>
      <w:r>
        <w:instrText xml:space="preserve"> PAGEREF _Toc87275312 \h </w:instrText>
      </w:r>
      <w:r>
        <w:fldChar w:fldCharType="separate"/>
      </w:r>
      <w:r>
        <w:t>10</w:t>
      </w:r>
      <w:r>
        <w:fldChar w:fldCharType="end"/>
      </w:r>
      <w:r>
        <w:fldChar w:fldCharType="end"/>
      </w:r>
    </w:p>
    <w:p w14:paraId="69CE84F9">
      <w:pPr>
        <w:pStyle w:val="28"/>
        <w:spacing w:line="360" w:lineRule="exact"/>
        <w:rPr>
          <w:rFonts w:hAnsiTheme="minorHAnsi" w:eastAsiaTheme="minorEastAsia" w:cstheme="minorBidi"/>
          <w:b w:val="0"/>
          <w:bCs w:val="0"/>
          <w:caps w:val="0"/>
          <w:sz w:val="21"/>
          <w:szCs w:val="22"/>
        </w:rPr>
      </w:pPr>
      <w:r>
        <w:fldChar w:fldCharType="begin"/>
      </w:r>
      <w:r>
        <w:instrText xml:space="preserve"> HYPERLINK \l "_Toc87275313" </w:instrText>
      </w:r>
      <w:r>
        <w:fldChar w:fldCharType="separate"/>
      </w:r>
      <w:r>
        <w:rPr>
          <w:rStyle w:val="42"/>
          <w:rFonts w:hint="eastAsia" w:ascii="方正黑体_GBK" w:eastAsia="方正黑体_GBK"/>
          <w:kern w:val="44"/>
        </w:rPr>
        <w:t>三、指导思想、基本原则和发展目标</w:t>
      </w:r>
      <w:r>
        <w:tab/>
      </w:r>
      <w:r>
        <w:fldChar w:fldCharType="begin"/>
      </w:r>
      <w:r>
        <w:instrText xml:space="preserve"> PAGEREF _Toc87275313 \h </w:instrText>
      </w:r>
      <w:r>
        <w:fldChar w:fldCharType="separate"/>
      </w:r>
      <w:r>
        <w:t>11</w:t>
      </w:r>
      <w:r>
        <w:fldChar w:fldCharType="end"/>
      </w:r>
      <w:r>
        <w:fldChar w:fldCharType="end"/>
      </w:r>
    </w:p>
    <w:p w14:paraId="2A790F9C">
      <w:pPr>
        <w:pStyle w:val="32"/>
        <w:tabs>
          <w:tab w:val="right" w:leader="dot" w:pos="8290"/>
        </w:tabs>
        <w:spacing w:line="360" w:lineRule="exact"/>
        <w:rPr>
          <w:rFonts w:hAnsiTheme="minorHAnsi" w:eastAsiaTheme="minorEastAsia" w:cstheme="minorBidi"/>
          <w:smallCaps w:val="0"/>
          <w:sz w:val="21"/>
          <w:szCs w:val="22"/>
        </w:rPr>
      </w:pPr>
      <w:r>
        <w:fldChar w:fldCharType="begin"/>
      </w:r>
      <w:r>
        <w:instrText xml:space="preserve"> HYPERLINK \l "_Toc87275314" </w:instrText>
      </w:r>
      <w:r>
        <w:fldChar w:fldCharType="separate"/>
      </w:r>
      <w:r>
        <w:rPr>
          <w:rStyle w:val="42"/>
          <w:rFonts w:hint="eastAsia" w:ascii="方正楷体_GBK" w:eastAsia="方正楷体_GBK"/>
          <w:bCs/>
        </w:rPr>
        <w:t>（一）指导思想</w:t>
      </w:r>
      <w:r>
        <w:tab/>
      </w:r>
      <w:r>
        <w:fldChar w:fldCharType="begin"/>
      </w:r>
      <w:r>
        <w:instrText xml:space="preserve"> PAGEREF _Toc87275314 \h </w:instrText>
      </w:r>
      <w:r>
        <w:fldChar w:fldCharType="separate"/>
      </w:r>
      <w:r>
        <w:t>11</w:t>
      </w:r>
      <w:r>
        <w:fldChar w:fldCharType="end"/>
      </w:r>
      <w:r>
        <w:fldChar w:fldCharType="end"/>
      </w:r>
    </w:p>
    <w:p w14:paraId="0FA4407E">
      <w:pPr>
        <w:pStyle w:val="32"/>
        <w:tabs>
          <w:tab w:val="right" w:leader="dot" w:pos="8290"/>
        </w:tabs>
        <w:spacing w:line="360" w:lineRule="exact"/>
        <w:rPr>
          <w:rFonts w:hAnsiTheme="minorHAnsi" w:eastAsiaTheme="minorEastAsia" w:cstheme="minorBidi"/>
          <w:smallCaps w:val="0"/>
          <w:sz w:val="21"/>
          <w:szCs w:val="22"/>
        </w:rPr>
      </w:pPr>
      <w:r>
        <w:fldChar w:fldCharType="begin"/>
      </w:r>
      <w:r>
        <w:instrText xml:space="preserve"> HYPERLINK \l "_Toc87275315" </w:instrText>
      </w:r>
      <w:r>
        <w:fldChar w:fldCharType="separate"/>
      </w:r>
      <w:r>
        <w:rPr>
          <w:rStyle w:val="42"/>
          <w:rFonts w:hint="eastAsia" w:ascii="方正楷体_GBK" w:eastAsia="方正楷体_GBK"/>
          <w:bCs/>
        </w:rPr>
        <w:t>（二）基本原则</w:t>
      </w:r>
      <w:r>
        <w:tab/>
      </w:r>
      <w:r>
        <w:fldChar w:fldCharType="begin"/>
      </w:r>
      <w:r>
        <w:instrText xml:space="preserve"> PAGEREF _Toc87275315 \h </w:instrText>
      </w:r>
      <w:r>
        <w:fldChar w:fldCharType="separate"/>
      </w:r>
      <w:r>
        <w:t>12</w:t>
      </w:r>
      <w:r>
        <w:fldChar w:fldCharType="end"/>
      </w:r>
      <w:r>
        <w:fldChar w:fldCharType="end"/>
      </w:r>
    </w:p>
    <w:p w14:paraId="21B3B1E6">
      <w:pPr>
        <w:pStyle w:val="32"/>
        <w:tabs>
          <w:tab w:val="right" w:leader="dot" w:pos="8290"/>
        </w:tabs>
        <w:spacing w:line="360" w:lineRule="exact"/>
        <w:rPr>
          <w:rFonts w:hAnsiTheme="minorHAnsi" w:eastAsiaTheme="minorEastAsia" w:cstheme="minorBidi"/>
          <w:smallCaps w:val="0"/>
          <w:sz w:val="21"/>
          <w:szCs w:val="22"/>
        </w:rPr>
      </w:pPr>
      <w:r>
        <w:fldChar w:fldCharType="begin"/>
      </w:r>
      <w:r>
        <w:instrText xml:space="preserve"> HYPERLINK \l "_Toc87275316" </w:instrText>
      </w:r>
      <w:r>
        <w:fldChar w:fldCharType="separate"/>
      </w:r>
      <w:r>
        <w:rPr>
          <w:rStyle w:val="42"/>
          <w:rFonts w:hint="eastAsia" w:ascii="方正楷体_GBK" w:eastAsia="方正楷体_GBK"/>
          <w:bCs/>
        </w:rPr>
        <w:t>（三）发展目标</w:t>
      </w:r>
      <w:r>
        <w:tab/>
      </w:r>
      <w:r>
        <w:fldChar w:fldCharType="begin"/>
      </w:r>
      <w:r>
        <w:instrText xml:space="preserve"> PAGEREF _Toc87275316 \h </w:instrText>
      </w:r>
      <w:r>
        <w:fldChar w:fldCharType="separate"/>
      </w:r>
      <w:r>
        <w:t>13</w:t>
      </w:r>
      <w:r>
        <w:fldChar w:fldCharType="end"/>
      </w:r>
      <w:r>
        <w:fldChar w:fldCharType="end"/>
      </w:r>
    </w:p>
    <w:p w14:paraId="61305E12">
      <w:pPr>
        <w:pStyle w:val="28"/>
        <w:spacing w:line="360" w:lineRule="exact"/>
        <w:rPr>
          <w:rFonts w:hAnsiTheme="minorHAnsi" w:eastAsiaTheme="minorEastAsia" w:cstheme="minorBidi"/>
          <w:b w:val="0"/>
          <w:bCs w:val="0"/>
          <w:caps w:val="0"/>
          <w:sz w:val="21"/>
          <w:szCs w:val="22"/>
        </w:rPr>
      </w:pPr>
      <w:r>
        <w:fldChar w:fldCharType="begin"/>
      </w:r>
      <w:r>
        <w:instrText xml:space="preserve"> HYPERLINK \l "_Toc87275317" </w:instrText>
      </w:r>
      <w:r>
        <w:fldChar w:fldCharType="separate"/>
      </w:r>
      <w:r>
        <w:rPr>
          <w:rStyle w:val="42"/>
          <w:rFonts w:hint="eastAsia" w:ascii="方正黑体_GBK" w:eastAsia="方正黑体_GBK"/>
          <w:kern w:val="44"/>
        </w:rPr>
        <w:t>四、主要任务</w:t>
      </w:r>
      <w:r>
        <w:tab/>
      </w:r>
      <w:r>
        <w:fldChar w:fldCharType="begin"/>
      </w:r>
      <w:r>
        <w:instrText xml:space="preserve"> PAGEREF _Toc87275317 \h </w:instrText>
      </w:r>
      <w:r>
        <w:fldChar w:fldCharType="separate"/>
      </w:r>
      <w:r>
        <w:t>16</w:t>
      </w:r>
      <w:r>
        <w:fldChar w:fldCharType="end"/>
      </w:r>
      <w:r>
        <w:fldChar w:fldCharType="end"/>
      </w:r>
    </w:p>
    <w:p w14:paraId="758A59DE">
      <w:pPr>
        <w:pStyle w:val="32"/>
        <w:tabs>
          <w:tab w:val="right" w:leader="dot" w:pos="8290"/>
        </w:tabs>
        <w:spacing w:line="360" w:lineRule="exact"/>
        <w:rPr>
          <w:rFonts w:hAnsiTheme="minorHAnsi" w:eastAsiaTheme="minorEastAsia" w:cstheme="minorBidi"/>
          <w:smallCaps w:val="0"/>
          <w:sz w:val="21"/>
          <w:szCs w:val="22"/>
        </w:rPr>
      </w:pPr>
      <w:r>
        <w:fldChar w:fldCharType="begin"/>
      </w:r>
      <w:r>
        <w:instrText xml:space="preserve"> HYPERLINK \l "_Toc87275318" </w:instrText>
      </w:r>
      <w:r>
        <w:fldChar w:fldCharType="separate"/>
      </w:r>
      <w:r>
        <w:rPr>
          <w:rStyle w:val="42"/>
          <w:rFonts w:hint="eastAsia" w:ascii="方正楷体_GBK" w:eastAsia="方正楷体_GBK"/>
          <w:bCs/>
        </w:rPr>
        <w:t>（一）深化应急管理机制体制改革</w:t>
      </w:r>
      <w:r>
        <w:tab/>
      </w:r>
      <w:r>
        <w:fldChar w:fldCharType="begin"/>
      </w:r>
      <w:r>
        <w:instrText xml:space="preserve"> PAGEREF _Toc87275318 \h </w:instrText>
      </w:r>
      <w:r>
        <w:fldChar w:fldCharType="separate"/>
      </w:r>
      <w:r>
        <w:t>16</w:t>
      </w:r>
      <w:r>
        <w:fldChar w:fldCharType="end"/>
      </w:r>
      <w:r>
        <w:fldChar w:fldCharType="end"/>
      </w:r>
    </w:p>
    <w:p w14:paraId="14902BBD">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"_Toc87275319" </w:instrText>
      </w:r>
      <w:r>
        <w:fldChar w:fldCharType="separate"/>
      </w:r>
      <w:r>
        <w:rPr>
          <w:rStyle w:val="42"/>
          <w:rFonts w:ascii="方正仿宋_GBK" w:hAnsi="宋体" w:eastAsia="方正仿宋_GBK"/>
        </w:rPr>
        <w:t>1.</w:t>
      </w:r>
      <w:r>
        <w:rPr>
          <w:rStyle w:val="42"/>
          <w:rFonts w:hint="eastAsia" w:ascii="方正仿宋_GBK" w:hAnsi="宋体" w:eastAsia="方正仿宋_GBK"/>
        </w:rPr>
        <w:t>强化组织领导机制</w:t>
      </w:r>
      <w:r>
        <w:tab/>
      </w:r>
      <w:r>
        <w:fldChar w:fldCharType="begin"/>
      </w:r>
      <w:r>
        <w:instrText xml:space="preserve"> PAGEREF _Toc87275319 \h </w:instrText>
      </w:r>
      <w:r>
        <w:fldChar w:fldCharType="separate"/>
      </w:r>
      <w:r>
        <w:t>16</w:t>
      </w:r>
      <w:r>
        <w:fldChar w:fldCharType="end"/>
      </w:r>
      <w:r>
        <w:fldChar w:fldCharType="end"/>
      </w:r>
    </w:p>
    <w:p w14:paraId="7B4AA381">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"_Toc87275320" </w:instrText>
      </w:r>
      <w:r>
        <w:fldChar w:fldCharType="separate"/>
      </w:r>
      <w:r>
        <w:rPr>
          <w:rStyle w:val="42"/>
          <w:rFonts w:ascii="方正仿宋_GBK" w:hAnsi="宋体" w:eastAsia="方正仿宋_GBK"/>
        </w:rPr>
        <w:t>2.</w:t>
      </w:r>
      <w:r>
        <w:rPr>
          <w:rStyle w:val="42"/>
          <w:rFonts w:hint="eastAsia" w:ascii="方正仿宋_GBK" w:hAnsi="宋体" w:eastAsia="方正仿宋_GBK"/>
        </w:rPr>
        <w:t>强化行政管理体系</w:t>
      </w:r>
      <w:r>
        <w:tab/>
      </w:r>
      <w:r>
        <w:fldChar w:fldCharType="begin"/>
      </w:r>
      <w:r>
        <w:instrText xml:space="preserve"> PAGEREF _Toc87275320 \h </w:instrText>
      </w:r>
      <w:r>
        <w:fldChar w:fldCharType="separate"/>
      </w:r>
      <w:r>
        <w:t>17</w:t>
      </w:r>
      <w:r>
        <w:fldChar w:fldCharType="end"/>
      </w:r>
      <w:r>
        <w:fldChar w:fldCharType="end"/>
      </w:r>
    </w:p>
    <w:p w14:paraId="4EF15D48">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"_Toc87275321" </w:instrText>
      </w:r>
      <w:r>
        <w:fldChar w:fldCharType="separate"/>
      </w:r>
      <w:r>
        <w:rPr>
          <w:rStyle w:val="42"/>
          <w:rFonts w:ascii="方正仿宋_GBK" w:hAnsi="宋体" w:eastAsia="方正仿宋_GBK"/>
        </w:rPr>
        <w:t>3.</w:t>
      </w:r>
      <w:r>
        <w:rPr>
          <w:rStyle w:val="42"/>
          <w:rFonts w:hint="eastAsia" w:ascii="方正仿宋_GBK" w:hAnsi="宋体" w:eastAsia="方正仿宋_GBK"/>
        </w:rPr>
        <w:t>强化统筹联动机制</w:t>
      </w:r>
      <w:r>
        <w:tab/>
      </w:r>
      <w:r>
        <w:fldChar w:fldCharType="begin"/>
      </w:r>
      <w:r>
        <w:instrText xml:space="preserve"> PAGEREF _Toc87275321 \h </w:instrText>
      </w:r>
      <w:r>
        <w:fldChar w:fldCharType="separate"/>
      </w:r>
      <w:r>
        <w:t>17</w:t>
      </w:r>
      <w:r>
        <w:fldChar w:fldCharType="end"/>
      </w:r>
      <w:r>
        <w:fldChar w:fldCharType="end"/>
      </w:r>
    </w:p>
    <w:p w14:paraId="3C94F65F">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"_Toc87275322" </w:instrText>
      </w:r>
      <w:r>
        <w:fldChar w:fldCharType="separate"/>
      </w:r>
      <w:r>
        <w:rPr>
          <w:rStyle w:val="42"/>
          <w:rFonts w:ascii="方正仿宋_GBK" w:hAnsi="宋体" w:eastAsia="方正仿宋_GBK"/>
        </w:rPr>
        <w:t>4.</w:t>
      </w:r>
      <w:r>
        <w:rPr>
          <w:rStyle w:val="42"/>
          <w:rFonts w:hint="eastAsia" w:ascii="方正仿宋_GBK" w:hAnsi="宋体" w:eastAsia="方正仿宋_GBK"/>
        </w:rPr>
        <w:t>完善基层应急体系</w:t>
      </w:r>
      <w:r>
        <w:tab/>
      </w:r>
      <w:r>
        <w:fldChar w:fldCharType="begin"/>
      </w:r>
      <w:r>
        <w:instrText xml:space="preserve"> PAGEREF _Toc87275322 \h </w:instrText>
      </w:r>
      <w:r>
        <w:fldChar w:fldCharType="separate"/>
      </w:r>
      <w:r>
        <w:t>17</w:t>
      </w:r>
      <w:r>
        <w:fldChar w:fldCharType="end"/>
      </w:r>
      <w:r>
        <w:fldChar w:fldCharType="end"/>
      </w:r>
    </w:p>
    <w:p w14:paraId="1986F483">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"_Toc87275323" </w:instrText>
      </w:r>
      <w:r>
        <w:fldChar w:fldCharType="separate"/>
      </w:r>
      <w:r>
        <w:rPr>
          <w:rStyle w:val="42"/>
          <w:rFonts w:ascii="方正仿宋_GBK" w:hAnsi="宋体" w:eastAsia="方正仿宋_GBK"/>
        </w:rPr>
        <w:t>5.</w:t>
      </w:r>
      <w:r>
        <w:rPr>
          <w:rStyle w:val="42"/>
          <w:rFonts w:hint="eastAsia" w:ascii="方正仿宋_GBK" w:hAnsi="宋体" w:eastAsia="方正仿宋_GBK"/>
        </w:rPr>
        <w:t>强化属地管理责任</w:t>
      </w:r>
      <w:r>
        <w:tab/>
      </w:r>
      <w:r>
        <w:fldChar w:fldCharType="begin"/>
      </w:r>
      <w:r>
        <w:instrText xml:space="preserve"> PAGEREF _Toc87275323 \h </w:instrText>
      </w:r>
      <w:r>
        <w:fldChar w:fldCharType="separate"/>
      </w:r>
      <w:r>
        <w:t>17</w:t>
      </w:r>
      <w:r>
        <w:fldChar w:fldCharType="end"/>
      </w:r>
      <w:r>
        <w:fldChar w:fldCharType="end"/>
      </w:r>
    </w:p>
    <w:p w14:paraId="01AFD8BD">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"_Toc87275324" </w:instrText>
      </w:r>
      <w:r>
        <w:fldChar w:fldCharType="separate"/>
      </w:r>
      <w:r>
        <w:rPr>
          <w:rStyle w:val="42"/>
          <w:rFonts w:ascii="方正仿宋_GBK" w:hAnsi="宋体" w:eastAsia="方正仿宋_GBK"/>
        </w:rPr>
        <w:t>6.</w:t>
      </w:r>
      <w:r>
        <w:rPr>
          <w:rStyle w:val="42"/>
          <w:rFonts w:hint="eastAsia" w:ascii="方正仿宋_GBK" w:hAnsi="宋体" w:eastAsia="方正仿宋_GBK"/>
        </w:rPr>
        <w:t>强化行业监管责任</w:t>
      </w:r>
      <w:r>
        <w:tab/>
      </w:r>
      <w:r>
        <w:fldChar w:fldCharType="begin"/>
      </w:r>
      <w:r>
        <w:instrText xml:space="preserve"> PAGEREF _Toc87275324 \h </w:instrText>
      </w:r>
      <w:r>
        <w:fldChar w:fldCharType="separate"/>
      </w:r>
      <w:r>
        <w:t>18</w:t>
      </w:r>
      <w:r>
        <w:fldChar w:fldCharType="end"/>
      </w:r>
      <w:r>
        <w:fldChar w:fldCharType="end"/>
      </w:r>
    </w:p>
    <w:p w14:paraId="24D28F78">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"_Toc87275325" </w:instrText>
      </w:r>
      <w:r>
        <w:fldChar w:fldCharType="separate"/>
      </w:r>
      <w:r>
        <w:rPr>
          <w:rStyle w:val="42"/>
          <w:rFonts w:ascii="方正仿宋_GBK" w:hAnsi="宋体" w:eastAsia="方正仿宋_GBK"/>
        </w:rPr>
        <w:t>7.</w:t>
      </w:r>
      <w:r>
        <w:rPr>
          <w:rStyle w:val="42"/>
          <w:rFonts w:hint="eastAsia" w:ascii="方正仿宋_GBK" w:hAnsi="宋体" w:eastAsia="方正仿宋_GBK"/>
        </w:rPr>
        <w:t>压实企业主体责任</w:t>
      </w:r>
      <w:r>
        <w:tab/>
      </w:r>
      <w:r>
        <w:fldChar w:fldCharType="begin"/>
      </w:r>
      <w:r>
        <w:instrText xml:space="preserve"> PAGEREF _Toc87275325 \h </w:instrText>
      </w:r>
      <w:r>
        <w:fldChar w:fldCharType="separate"/>
      </w:r>
      <w:r>
        <w:t>18</w:t>
      </w:r>
      <w:r>
        <w:fldChar w:fldCharType="end"/>
      </w:r>
      <w:r>
        <w:fldChar w:fldCharType="end"/>
      </w:r>
    </w:p>
    <w:p w14:paraId="6A8CD609">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"_Toc87275326" </w:instrText>
      </w:r>
      <w:r>
        <w:fldChar w:fldCharType="separate"/>
      </w:r>
      <w:r>
        <w:rPr>
          <w:rStyle w:val="42"/>
          <w:rFonts w:ascii="方正仿宋_GBK" w:hAnsi="宋体" w:eastAsia="方正仿宋_GBK"/>
        </w:rPr>
        <w:t>8.</w:t>
      </w:r>
      <w:r>
        <w:rPr>
          <w:rStyle w:val="42"/>
          <w:rFonts w:hint="eastAsia" w:ascii="方正仿宋_GBK" w:hAnsi="宋体" w:eastAsia="方正仿宋_GBK"/>
        </w:rPr>
        <w:t>完善制度保障机制</w:t>
      </w:r>
      <w:r>
        <w:tab/>
      </w:r>
      <w:r>
        <w:fldChar w:fldCharType="begin"/>
      </w:r>
      <w:r>
        <w:instrText xml:space="preserve"> PAGEREF _Toc87275326 \h </w:instrText>
      </w:r>
      <w:r>
        <w:fldChar w:fldCharType="separate"/>
      </w:r>
      <w:r>
        <w:t>18</w:t>
      </w:r>
      <w:r>
        <w:fldChar w:fldCharType="end"/>
      </w:r>
      <w:r>
        <w:fldChar w:fldCharType="end"/>
      </w:r>
    </w:p>
    <w:p w14:paraId="3F8D8851">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"_Toc87275327" </w:instrText>
      </w:r>
      <w:r>
        <w:fldChar w:fldCharType="separate"/>
      </w:r>
      <w:r>
        <w:rPr>
          <w:rStyle w:val="42"/>
          <w:rFonts w:ascii="方正仿宋_GBK" w:hAnsi="宋体" w:eastAsia="方正仿宋_GBK"/>
        </w:rPr>
        <w:t>9.</w:t>
      </w:r>
      <w:r>
        <w:rPr>
          <w:rStyle w:val="42"/>
          <w:rFonts w:hint="eastAsia" w:ascii="方正仿宋_GBK" w:hAnsi="宋体" w:eastAsia="方正仿宋_GBK"/>
        </w:rPr>
        <w:t>完善行政执法机制</w:t>
      </w:r>
      <w:r>
        <w:tab/>
      </w:r>
      <w:r>
        <w:fldChar w:fldCharType="begin"/>
      </w:r>
      <w:r>
        <w:instrText xml:space="preserve"> PAGEREF _Toc87275327 \h </w:instrText>
      </w:r>
      <w:r>
        <w:fldChar w:fldCharType="separate"/>
      </w:r>
      <w:r>
        <w:t>18</w:t>
      </w:r>
      <w:r>
        <w:fldChar w:fldCharType="end"/>
      </w:r>
      <w:r>
        <w:fldChar w:fldCharType="end"/>
      </w:r>
    </w:p>
    <w:p w14:paraId="3C97661A">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"_Toc87275328" </w:instrText>
      </w:r>
      <w:r>
        <w:fldChar w:fldCharType="separate"/>
      </w:r>
      <w:r>
        <w:rPr>
          <w:rStyle w:val="42"/>
          <w:rFonts w:ascii="方正仿宋_GBK" w:hAnsi="宋体" w:eastAsia="方正仿宋_GBK"/>
        </w:rPr>
        <w:t>10.</w:t>
      </w:r>
      <w:r>
        <w:rPr>
          <w:rStyle w:val="42"/>
          <w:rFonts w:hint="eastAsia" w:ascii="方正仿宋_GBK" w:hAnsi="宋体" w:eastAsia="方正仿宋_GBK"/>
        </w:rPr>
        <w:t>完善目标考核和责任追究</w:t>
      </w:r>
      <w:r>
        <w:tab/>
      </w:r>
      <w:r>
        <w:fldChar w:fldCharType="begin"/>
      </w:r>
      <w:r>
        <w:instrText xml:space="preserve"> PAGEREF _Toc87275328 \h </w:instrText>
      </w:r>
      <w:r>
        <w:fldChar w:fldCharType="separate"/>
      </w:r>
      <w:r>
        <w:t>19</w:t>
      </w:r>
      <w:r>
        <w:fldChar w:fldCharType="end"/>
      </w:r>
      <w:r>
        <w:fldChar w:fldCharType="end"/>
      </w:r>
    </w:p>
    <w:p w14:paraId="611928F8">
      <w:pPr>
        <w:pStyle w:val="32"/>
        <w:tabs>
          <w:tab w:val="right" w:leader="dot" w:pos="8290"/>
        </w:tabs>
        <w:spacing w:line="360" w:lineRule="exact"/>
        <w:rPr>
          <w:rFonts w:hAnsiTheme="minorHAnsi" w:eastAsiaTheme="minorEastAsia" w:cstheme="minorBidi"/>
          <w:smallCaps w:val="0"/>
          <w:sz w:val="21"/>
          <w:szCs w:val="22"/>
        </w:rPr>
      </w:pPr>
      <w:r>
        <w:fldChar w:fldCharType="begin"/>
      </w:r>
      <w:r>
        <w:instrText xml:space="preserve"> HYPERLINK \l "_Toc87275329" </w:instrText>
      </w:r>
      <w:r>
        <w:fldChar w:fldCharType="separate"/>
      </w:r>
      <w:r>
        <w:rPr>
          <w:rStyle w:val="42"/>
          <w:rFonts w:hint="eastAsia" w:ascii="方正楷体_GBK" w:eastAsia="方正楷体_GBK"/>
          <w:bCs/>
        </w:rPr>
        <w:t>（二）继续强化风险预防治理能力建设</w:t>
      </w:r>
      <w:r>
        <w:tab/>
      </w:r>
      <w:r>
        <w:fldChar w:fldCharType="begin"/>
      </w:r>
      <w:r>
        <w:instrText xml:space="preserve"> PAGEREF _Toc87275329 \h </w:instrText>
      </w:r>
      <w:r>
        <w:fldChar w:fldCharType="separate"/>
      </w:r>
      <w:r>
        <w:t>19</w:t>
      </w:r>
      <w:r>
        <w:fldChar w:fldCharType="end"/>
      </w:r>
      <w:r>
        <w:fldChar w:fldCharType="end"/>
      </w:r>
    </w:p>
    <w:p w14:paraId="76F6561F">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"_Toc87275330" </w:instrText>
      </w:r>
      <w:r>
        <w:fldChar w:fldCharType="separate"/>
      </w:r>
      <w:r>
        <w:rPr>
          <w:rStyle w:val="42"/>
          <w:rFonts w:ascii="方正仿宋_GBK" w:hAnsi="宋体" w:eastAsia="方正仿宋_GBK"/>
        </w:rPr>
        <w:t>1.</w:t>
      </w:r>
      <w:r>
        <w:rPr>
          <w:rStyle w:val="42"/>
          <w:rFonts w:hint="eastAsia" w:ascii="方正仿宋_GBK" w:hAnsi="宋体" w:eastAsia="方正仿宋_GBK"/>
        </w:rPr>
        <w:t>加强风险监测预警能力</w:t>
      </w:r>
      <w:r>
        <w:tab/>
      </w:r>
      <w:r>
        <w:fldChar w:fldCharType="begin"/>
      </w:r>
      <w:r>
        <w:instrText xml:space="preserve"> PAGEREF _Toc87275330 \h </w:instrText>
      </w:r>
      <w:r>
        <w:fldChar w:fldCharType="separate"/>
      </w:r>
      <w:r>
        <w:t>19</w:t>
      </w:r>
      <w:r>
        <w:fldChar w:fldCharType="end"/>
      </w:r>
      <w:r>
        <w:fldChar w:fldCharType="end"/>
      </w:r>
    </w:p>
    <w:p w14:paraId="4FA124F6">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"_Toc87275331" </w:instrText>
      </w:r>
      <w:r>
        <w:fldChar w:fldCharType="separate"/>
      </w:r>
      <w:r>
        <w:rPr>
          <w:rStyle w:val="42"/>
          <w:rFonts w:ascii="方正仿宋_GBK" w:hAnsi="宋体" w:eastAsia="方正仿宋_GBK"/>
        </w:rPr>
        <w:t>2.</w:t>
      </w:r>
      <w:r>
        <w:rPr>
          <w:rStyle w:val="42"/>
          <w:rFonts w:hint="eastAsia" w:ascii="方正仿宋_GBK" w:hAnsi="宋体" w:eastAsia="方正仿宋_GBK"/>
        </w:rPr>
        <w:t>加强安全生产风险防范能力</w:t>
      </w:r>
      <w:r>
        <w:tab/>
      </w:r>
      <w:r>
        <w:fldChar w:fldCharType="begin"/>
      </w:r>
      <w:r>
        <w:instrText xml:space="preserve"> PAGEREF _Toc87275331 \h </w:instrText>
      </w:r>
      <w:r>
        <w:fldChar w:fldCharType="separate"/>
      </w:r>
      <w:r>
        <w:t>20</w:t>
      </w:r>
      <w:r>
        <w:fldChar w:fldCharType="end"/>
      </w:r>
      <w:r>
        <w:fldChar w:fldCharType="end"/>
      </w:r>
    </w:p>
    <w:p w14:paraId="4BD531A1">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"_Toc87275332" </w:instrText>
      </w:r>
      <w:r>
        <w:fldChar w:fldCharType="separate"/>
      </w:r>
      <w:r>
        <w:rPr>
          <w:rStyle w:val="42"/>
          <w:rFonts w:ascii="方正仿宋_GBK" w:hAnsi="宋体" w:eastAsia="方正仿宋_GBK"/>
        </w:rPr>
        <w:t>3.</w:t>
      </w:r>
      <w:r>
        <w:rPr>
          <w:rStyle w:val="42"/>
          <w:rFonts w:hint="eastAsia" w:ascii="方正仿宋_GBK" w:hAnsi="宋体" w:eastAsia="方正仿宋_GBK"/>
        </w:rPr>
        <w:t>加强自然灾害综合风险防治能力</w:t>
      </w:r>
      <w:r>
        <w:tab/>
      </w:r>
      <w:r>
        <w:fldChar w:fldCharType="begin"/>
      </w:r>
      <w:r>
        <w:instrText xml:space="preserve"> PAGEREF _Toc87275332 \h </w:instrText>
      </w:r>
      <w:r>
        <w:fldChar w:fldCharType="separate"/>
      </w:r>
      <w:r>
        <w:t>25</w:t>
      </w:r>
      <w:r>
        <w:fldChar w:fldCharType="end"/>
      </w:r>
      <w:r>
        <w:fldChar w:fldCharType="end"/>
      </w:r>
    </w:p>
    <w:p w14:paraId="6C7A09A6">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"_Toc87275333" </w:instrText>
      </w:r>
      <w:r>
        <w:fldChar w:fldCharType="separate"/>
      </w:r>
      <w:r>
        <w:rPr>
          <w:rStyle w:val="42"/>
          <w:rFonts w:ascii="方正仿宋_GBK" w:hAnsi="宋体" w:eastAsia="方正仿宋_GBK"/>
        </w:rPr>
        <w:t>4.</w:t>
      </w:r>
      <w:r>
        <w:rPr>
          <w:rStyle w:val="42"/>
          <w:rFonts w:hint="eastAsia" w:ascii="方正仿宋_GBK" w:hAnsi="宋体" w:eastAsia="方正仿宋_GBK"/>
        </w:rPr>
        <w:t>推进防灾减灾基础工程建设</w:t>
      </w:r>
      <w:r>
        <w:tab/>
      </w:r>
      <w:r>
        <w:fldChar w:fldCharType="begin"/>
      </w:r>
      <w:r>
        <w:instrText xml:space="preserve"> PAGEREF _Toc87275333 \h </w:instrText>
      </w:r>
      <w:r>
        <w:fldChar w:fldCharType="separate"/>
      </w:r>
      <w:r>
        <w:t>26</w:t>
      </w:r>
      <w:r>
        <w:fldChar w:fldCharType="end"/>
      </w:r>
      <w:r>
        <w:fldChar w:fldCharType="end"/>
      </w:r>
    </w:p>
    <w:p w14:paraId="0A5877F3">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"_Toc87275334" </w:instrText>
      </w:r>
      <w:r>
        <w:fldChar w:fldCharType="separate"/>
      </w:r>
      <w:r>
        <w:rPr>
          <w:rStyle w:val="42"/>
          <w:rFonts w:ascii="方正仿宋_GBK" w:hAnsi="宋体" w:eastAsia="方正仿宋_GBK"/>
        </w:rPr>
        <w:t>5.</w:t>
      </w:r>
      <w:r>
        <w:rPr>
          <w:rStyle w:val="42"/>
          <w:rFonts w:hint="eastAsia" w:ascii="方正仿宋_GBK" w:hAnsi="宋体" w:eastAsia="方正仿宋_GBK"/>
        </w:rPr>
        <w:t>加强灾害恢复重建能力</w:t>
      </w:r>
      <w:r>
        <w:tab/>
      </w:r>
      <w:r>
        <w:fldChar w:fldCharType="begin"/>
      </w:r>
      <w:r>
        <w:instrText xml:space="preserve"> PAGEREF _Toc87275334 \h </w:instrText>
      </w:r>
      <w:r>
        <w:fldChar w:fldCharType="separate"/>
      </w:r>
      <w:r>
        <w:t>26</w:t>
      </w:r>
      <w:r>
        <w:fldChar w:fldCharType="end"/>
      </w:r>
      <w:r>
        <w:fldChar w:fldCharType="end"/>
      </w:r>
    </w:p>
    <w:p w14:paraId="4CF8F47B">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"_Toc87275335" </w:instrText>
      </w:r>
      <w:r>
        <w:fldChar w:fldCharType="separate"/>
      </w:r>
      <w:r>
        <w:rPr>
          <w:rStyle w:val="42"/>
          <w:rFonts w:ascii="方正仿宋_GBK" w:hAnsi="宋体" w:eastAsia="方正仿宋_GBK"/>
        </w:rPr>
        <w:t>6.</w:t>
      </w:r>
      <w:r>
        <w:rPr>
          <w:rStyle w:val="42"/>
          <w:rFonts w:hint="eastAsia" w:ascii="方正仿宋_GBK" w:hAnsi="宋体" w:eastAsia="方正仿宋_GBK"/>
        </w:rPr>
        <w:t>发挥市场机制防灾减灾作用</w:t>
      </w:r>
      <w:r>
        <w:tab/>
      </w:r>
      <w:r>
        <w:fldChar w:fldCharType="begin"/>
      </w:r>
      <w:r>
        <w:instrText xml:space="preserve"> PAGEREF _Toc87275335 \h </w:instrText>
      </w:r>
      <w:r>
        <w:fldChar w:fldCharType="separate"/>
      </w:r>
      <w:r>
        <w:t>27</w:t>
      </w:r>
      <w:r>
        <w:fldChar w:fldCharType="end"/>
      </w:r>
      <w:r>
        <w:fldChar w:fldCharType="end"/>
      </w:r>
    </w:p>
    <w:p w14:paraId="09BAF9CF">
      <w:pPr>
        <w:pStyle w:val="32"/>
        <w:tabs>
          <w:tab w:val="right" w:leader="dot" w:pos="8290"/>
        </w:tabs>
        <w:spacing w:line="360" w:lineRule="exact"/>
        <w:rPr>
          <w:rFonts w:hAnsiTheme="minorHAnsi" w:eastAsiaTheme="minorEastAsia" w:cstheme="minorBidi"/>
          <w:smallCaps w:val="0"/>
          <w:sz w:val="21"/>
          <w:szCs w:val="22"/>
        </w:rPr>
      </w:pPr>
      <w:r>
        <w:fldChar w:fldCharType="begin"/>
      </w:r>
      <w:r>
        <w:instrText xml:space="preserve"> HYPERLINK \l "_Toc87275336" </w:instrText>
      </w:r>
      <w:r>
        <w:fldChar w:fldCharType="separate"/>
      </w:r>
      <w:r>
        <w:rPr>
          <w:rStyle w:val="42"/>
          <w:rFonts w:hint="eastAsia" w:ascii="方正楷体_GBK" w:eastAsia="方正楷体_GBK"/>
          <w:bCs/>
        </w:rPr>
        <w:t>（三）提升应急救援队伍能力建设</w:t>
      </w:r>
      <w:r>
        <w:tab/>
      </w:r>
      <w:r>
        <w:fldChar w:fldCharType="begin"/>
      </w:r>
      <w:r>
        <w:instrText xml:space="preserve"> PAGEREF _Toc87275336 \h </w:instrText>
      </w:r>
      <w:r>
        <w:fldChar w:fldCharType="separate"/>
      </w:r>
      <w:r>
        <w:t>27</w:t>
      </w:r>
      <w:r>
        <w:fldChar w:fldCharType="end"/>
      </w:r>
      <w:r>
        <w:fldChar w:fldCharType="end"/>
      </w:r>
    </w:p>
    <w:p w14:paraId="16FF6683">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"_Toc87275337" </w:instrText>
      </w:r>
      <w:r>
        <w:fldChar w:fldCharType="separate"/>
      </w:r>
      <w:r>
        <w:rPr>
          <w:rStyle w:val="42"/>
          <w:rFonts w:ascii="方正仿宋_GBK" w:hAnsi="宋体" w:eastAsia="方正仿宋_GBK"/>
        </w:rPr>
        <w:t>1.</w:t>
      </w:r>
      <w:r>
        <w:rPr>
          <w:rStyle w:val="42"/>
          <w:rFonts w:hint="eastAsia" w:ascii="方正仿宋_GBK" w:hAnsi="宋体" w:eastAsia="方正仿宋_GBK"/>
        </w:rPr>
        <w:t>加强应急救援队伍的统一规划、标准、投入</w:t>
      </w:r>
      <w:r>
        <w:tab/>
      </w:r>
      <w:r>
        <w:fldChar w:fldCharType="begin"/>
      </w:r>
      <w:r>
        <w:instrText xml:space="preserve"> PAGEREF _Toc87275337 \h </w:instrText>
      </w:r>
      <w:r>
        <w:fldChar w:fldCharType="separate"/>
      </w:r>
      <w:r>
        <w:t>27</w:t>
      </w:r>
      <w:r>
        <w:fldChar w:fldCharType="end"/>
      </w:r>
      <w:r>
        <w:fldChar w:fldCharType="end"/>
      </w:r>
    </w:p>
    <w:p w14:paraId="39C8BA7E">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"_Toc87275338" </w:instrText>
      </w:r>
      <w:r>
        <w:fldChar w:fldCharType="separate"/>
      </w:r>
      <w:r>
        <w:rPr>
          <w:rStyle w:val="42"/>
          <w:rFonts w:ascii="方正仿宋_GBK" w:hAnsi="宋体" w:eastAsia="方正仿宋_GBK"/>
        </w:rPr>
        <w:t>2.</w:t>
      </w:r>
      <w:r>
        <w:rPr>
          <w:rStyle w:val="42"/>
          <w:rFonts w:hint="eastAsia" w:ascii="方正仿宋_GBK" w:hAnsi="宋体" w:eastAsia="方正仿宋_GBK"/>
        </w:rPr>
        <w:t>加强综合性应急救援队伍能力建设</w:t>
      </w:r>
      <w:r>
        <w:tab/>
      </w:r>
      <w:r>
        <w:fldChar w:fldCharType="begin"/>
      </w:r>
      <w:r>
        <w:instrText xml:space="preserve"> PAGEREF _Toc87275338 \h </w:instrText>
      </w:r>
      <w:r>
        <w:fldChar w:fldCharType="separate"/>
      </w:r>
      <w:r>
        <w:t>27</w:t>
      </w:r>
      <w:r>
        <w:fldChar w:fldCharType="end"/>
      </w:r>
      <w:r>
        <w:fldChar w:fldCharType="end"/>
      </w:r>
    </w:p>
    <w:p w14:paraId="093C9718">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"_Toc87275339" </w:instrText>
      </w:r>
      <w:r>
        <w:fldChar w:fldCharType="separate"/>
      </w:r>
      <w:r>
        <w:rPr>
          <w:rStyle w:val="42"/>
          <w:rFonts w:ascii="方正仿宋_GBK" w:hAnsi="宋体" w:eastAsia="方正仿宋_GBK"/>
        </w:rPr>
        <w:t>3.</w:t>
      </w:r>
      <w:r>
        <w:rPr>
          <w:rStyle w:val="42"/>
          <w:rFonts w:hint="eastAsia" w:ascii="方正仿宋_GBK" w:hAnsi="宋体" w:eastAsia="方正仿宋_GBK"/>
        </w:rPr>
        <w:t>加强专业性应急救援队伍能力建设</w:t>
      </w:r>
      <w:r>
        <w:tab/>
      </w:r>
      <w:r>
        <w:fldChar w:fldCharType="begin"/>
      </w:r>
      <w:r>
        <w:instrText xml:space="preserve"> PAGEREF _Toc87275339 \h </w:instrText>
      </w:r>
      <w:r>
        <w:fldChar w:fldCharType="separate"/>
      </w:r>
      <w:r>
        <w:t>28</w:t>
      </w:r>
      <w:r>
        <w:fldChar w:fldCharType="end"/>
      </w:r>
      <w:r>
        <w:fldChar w:fldCharType="end"/>
      </w:r>
    </w:p>
    <w:p w14:paraId="21EC5635">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"_Toc87275340" </w:instrText>
      </w:r>
      <w:r>
        <w:fldChar w:fldCharType="separate"/>
      </w:r>
      <w:r>
        <w:rPr>
          <w:rStyle w:val="42"/>
          <w:rFonts w:ascii="方正仿宋_GBK" w:hAnsi="宋体" w:eastAsia="方正仿宋_GBK"/>
        </w:rPr>
        <w:t>4.</w:t>
      </w:r>
      <w:r>
        <w:rPr>
          <w:rStyle w:val="42"/>
          <w:rFonts w:hint="eastAsia" w:ascii="方正仿宋_GBK" w:hAnsi="宋体" w:eastAsia="方正仿宋_GBK"/>
        </w:rPr>
        <w:t>加强各领域专家队伍建设</w:t>
      </w:r>
      <w:r>
        <w:tab/>
      </w:r>
      <w:r>
        <w:fldChar w:fldCharType="begin"/>
      </w:r>
      <w:r>
        <w:instrText xml:space="preserve"> PAGEREF _Toc87275340 \h </w:instrText>
      </w:r>
      <w:r>
        <w:fldChar w:fldCharType="separate"/>
      </w:r>
      <w:r>
        <w:t>28</w:t>
      </w:r>
      <w:r>
        <w:fldChar w:fldCharType="end"/>
      </w:r>
      <w:r>
        <w:fldChar w:fldCharType="end"/>
      </w:r>
    </w:p>
    <w:p w14:paraId="036947A9">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"_Toc87275341" </w:instrText>
      </w:r>
      <w:r>
        <w:fldChar w:fldCharType="separate"/>
      </w:r>
      <w:r>
        <w:rPr>
          <w:rStyle w:val="42"/>
          <w:rFonts w:ascii="方正仿宋_GBK" w:hAnsi="宋体" w:eastAsia="方正仿宋_GBK"/>
        </w:rPr>
        <w:t>5.</w:t>
      </w:r>
      <w:r>
        <w:rPr>
          <w:rStyle w:val="42"/>
          <w:rFonts w:hint="eastAsia" w:ascii="方正仿宋_GBK" w:hAnsi="宋体" w:eastAsia="方正仿宋_GBK"/>
        </w:rPr>
        <w:t>鼓励社会应急救援力量发展</w:t>
      </w:r>
      <w:r>
        <w:tab/>
      </w:r>
      <w:r>
        <w:fldChar w:fldCharType="begin"/>
      </w:r>
      <w:r>
        <w:instrText xml:space="preserve"> PAGEREF _Toc87275341 \h </w:instrText>
      </w:r>
      <w:r>
        <w:fldChar w:fldCharType="separate"/>
      </w:r>
      <w:r>
        <w:t>28</w:t>
      </w:r>
      <w:r>
        <w:fldChar w:fldCharType="end"/>
      </w:r>
      <w:r>
        <w:fldChar w:fldCharType="end"/>
      </w:r>
    </w:p>
    <w:p w14:paraId="343F16D5">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"_Toc87275342" </w:instrText>
      </w:r>
      <w:r>
        <w:fldChar w:fldCharType="separate"/>
      </w:r>
      <w:r>
        <w:rPr>
          <w:rStyle w:val="42"/>
          <w:rFonts w:ascii="方正仿宋_GBK" w:hAnsi="宋体" w:eastAsia="方正仿宋_GBK"/>
        </w:rPr>
        <w:t>6.</w:t>
      </w:r>
      <w:r>
        <w:rPr>
          <w:rStyle w:val="42"/>
          <w:rFonts w:hint="eastAsia" w:ascii="方正仿宋_GBK" w:hAnsi="宋体" w:eastAsia="方正仿宋_GBK"/>
        </w:rPr>
        <w:t>强化基层应急救援队伍建设</w:t>
      </w:r>
      <w:r>
        <w:tab/>
      </w:r>
      <w:r>
        <w:fldChar w:fldCharType="begin"/>
      </w:r>
      <w:r>
        <w:instrText xml:space="preserve"> PAGEREF _Toc87275342 \h </w:instrText>
      </w:r>
      <w:r>
        <w:fldChar w:fldCharType="separate"/>
      </w:r>
      <w:r>
        <w:t>29</w:t>
      </w:r>
      <w:r>
        <w:fldChar w:fldCharType="end"/>
      </w:r>
      <w:r>
        <w:fldChar w:fldCharType="end"/>
      </w:r>
    </w:p>
    <w:p w14:paraId="12601148">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"_Toc87275343" </w:instrText>
      </w:r>
      <w:r>
        <w:fldChar w:fldCharType="separate"/>
      </w:r>
      <w:r>
        <w:rPr>
          <w:rStyle w:val="42"/>
          <w:rFonts w:ascii="方正仿宋_GBK" w:hAnsi="宋体" w:eastAsia="方正仿宋_GBK"/>
        </w:rPr>
        <w:t>7.</w:t>
      </w:r>
      <w:r>
        <w:rPr>
          <w:rStyle w:val="42"/>
          <w:rFonts w:hint="eastAsia" w:ascii="方正仿宋_GBK" w:hAnsi="宋体" w:eastAsia="方正仿宋_GBK"/>
        </w:rPr>
        <w:t>提升应急救援队伍专业水平</w:t>
      </w:r>
      <w:r>
        <w:tab/>
      </w:r>
      <w:r>
        <w:fldChar w:fldCharType="begin"/>
      </w:r>
      <w:r>
        <w:instrText xml:space="preserve"> PAGEREF _Toc87275343 \h </w:instrText>
      </w:r>
      <w:r>
        <w:fldChar w:fldCharType="separate"/>
      </w:r>
      <w:r>
        <w:t>29</w:t>
      </w:r>
      <w:r>
        <w:fldChar w:fldCharType="end"/>
      </w:r>
      <w:r>
        <w:fldChar w:fldCharType="end"/>
      </w:r>
    </w:p>
    <w:p w14:paraId="1CBFD3D0">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"_Toc87275344" </w:instrText>
      </w:r>
      <w:r>
        <w:fldChar w:fldCharType="separate"/>
      </w:r>
      <w:r>
        <w:rPr>
          <w:rStyle w:val="42"/>
          <w:rFonts w:ascii="方正仿宋_GBK" w:hAnsi="宋体" w:eastAsia="方正仿宋_GBK"/>
        </w:rPr>
        <w:t>8.</w:t>
      </w:r>
      <w:r>
        <w:rPr>
          <w:rStyle w:val="42"/>
          <w:rFonts w:hint="eastAsia" w:ascii="方正仿宋_GBK" w:hAnsi="宋体" w:eastAsia="方正仿宋_GBK"/>
        </w:rPr>
        <w:t>提升应急救援队伍科技水平</w:t>
      </w:r>
      <w:r>
        <w:tab/>
      </w:r>
      <w:r>
        <w:fldChar w:fldCharType="begin"/>
      </w:r>
      <w:r>
        <w:instrText xml:space="preserve"> PAGEREF _Toc87275344 \h </w:instrText>
      </w:r>
      <w:r>
        <w:fldChar w:fldCharType="separate"/>
      </w:r>
      <w:r>
        <w:t>29</w:t>
      </w:r>
      <w:r>
        <w:fldChar w:fldCharType="end"/>
      </w:r>
      <w:r>
        <w:fldChar w:fldCharType="end"/>
      </w:r>
    </w:p>
    <w:p w14:paraId="769C26B6">
      <w:pPr>
        <w:pStyle w:val="32"/>
        <w:tabs>
          <w:tab w:val="right" w:leader="dot" w:pos="8290"/>
        </w:tabs>
        <w:spacing w:line="360" w:lineRule="exact"/>
        <w:rPr>
          <w:rFonts w:hAnsiTheme="minorHAnsi" w:eastAsiaTheme="minorEastAsia" w:cstheme="minorBidi"/>
          <w:smallCaps w:val="0"/>
          <w:sz w:val="21"/>
          <w:szCs w:val="22"/>
        </w:rPr>
      </w:pPr>
      <w:r>
        <w:fldChar w:fldCharType="begin"/>
      </w:r>
      <w:r>
        <w:instrText xml:space="preserve"> HYPERLINK \l "_Toc87275345" </w:instrText>
      </w:r>
      <w:r>
        <w:fldChar w:fldCharType="separate"/>
      </w:r>
      <w:r>
        <w:rPr>
          <w:rStyle w:val="42"/>
          <w:rFonts w:hint="eastAsia" w:ascii="方正楷体_GBK" w:eastAsia="方正楷体_GBK"/>
          <w:bCs/>
        </w:rPr>
        <w:t>（四）促进应急资源保障能力建设</w:t>
      </w:r>
      <w:r>
        <w:tab/>
      </w:r>
      <w:r>
        <w:fldChar w:fldCharType="begin"/>
      </w:r>
      <w:r>
        <w:instrText xml:space="preserve"> PAGEREF _Toc87275345 \h </w:instrText>
      </w:r>
      <w:r>
        <w:fldChar w:fldCharType="separate"/>
      </w:r>
      <w:r>
        <w:t>29</w:t>
      </w:r>
      <w:r>
        <w:fldChar w:fldCharType="end"/>
      </w:r>
      <w:r>
        <w:fldChar w:fldCharType="end"/>
      </w:r>
    </w:p>
    <w:p w14:paraId="25EF5927">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"_Toc87275346" </w:instrText>
      </w:r>
      <w:r>
        <w:fldChar w:fldCharType="separate"/>
      </w:r>
      <w:r>
        <w:rPr>
          <w:rStyle w:val="42"/>
          <w:rFonts w:ascii="方正仿宋_GBK" w:hAnsi="宋体" w:eastAsia="方正仿宋_GBK"/>
        </w:rPr>
        <w:t>1.</w:t>
      </w:r>
      <w:r>
        <w:rPr>
          <w:rStyle w:val="42"/>
          <w:rFonts w:hint="eastAsia" w:ascii="方正仿宋_GBK" w:hAnsi="宋体" w:eastAsia="方正仿宋_GBK"/>
        </w:rPr>
        <w:t>完善应急资源管理机制</w:t>
      </w:r>
      <w:r>
        <w:tab/>
      </w:r>
      <w:r>
        <w:fldChar w:fldCharType="begin"/>
      </w:r>
      <w:r>
        <w:instrText xml:space="preserve"> PAGEREF _Toc87275346 \h </w:instrText>
      </w:r>
      <w:r>
        <w:fldChar w:fldCharType="separate"/>
      </w:r>
      <w:r>
        <w:t>30</w:t>
      </w:r>
      <w:r>
        <w:fldChar w:fldCharType="end"/>
      </w:r>
      <w:r>
        <w:fldChar w:fldCharType="end"/>
      </w:r>
    </w:p>
    <w:p w14:paraId="4CB88451">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"_Toc87275347" </w:instrText>
      </w:r>
      <w:r>
        <w:fldChar w:fldCharType="separate"/>
      </w:r>
      <w:r>
        <w:rPr>
          <w:rStyle w:val="42"/>
          <w:rFonts w:ascii="方正仿宋_GBK" w:hAnsi="宋体" w:eastAsia="方正仿宋_GBK"/>
        </w:rPr>
        <w:t>2.</w:t>
      </w:r>
      <w:r>
        <w:rPr>
          <w:rStyle w:val="42"/>
          <w:rFonts w:hint="eastAsia" w:ascii="方正仿宋_GBK" w:hAnsi="宋体" w:eastAsia="方正仿宋_GBK"/>
        </w:rPr>
        <w:t>强化应急物资保障能力</w:t>
      </w:r>
      <w:r>
        <w:tab/>
      </w:r>
      <w:r>
        <w:fldChar w:fldCharType="begin"/>
      </w:r>
      <w:r>
        <w:instrText xml:space="preserve"> PAGEREF _Toc87275347 \h </w:instrText>
      </w:r>
      <w:r>
        <w:fldChar w:fldCharType="separate"/>
      </w:r>
      <w:r>
        <w:t>30</w:t>
      </w:r>
      <w:r>
        <w:fldChar w:fldCharType="end"/>
      </w:r>
      <w:r>
        <w:fldChar w:fldCharType="end"/>
      </w:r>
    </w:p>
    <w:p w14:paraId="0DA83242">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"_Toc87275348" </w:instrText>
      </w:r>
      <w:r>
        <w:fldChar w:fldCharType="separate"/>
      </w:r>
      <w:r>
        <w:rPr>
          <w:rStyle w:val="42"/>
          <w:rFonts w:ascii="方正仿宋_GBK" w:hAnsi="宋体" w:eastAsia="方正仿宋_GBK"/>
        </w:rPr>
        <w:t>3.</w:t>
      </w:r>
      <w:r>
        <w:rPr>
          <w:rStyle w:val="42"/>
          <w:rFonts w:hint="eastAsia" w:ascii="方正仿宋_GBK" w:hAnsi="宋体" w:eastAsia="方正仿宋_GBK"/>
        </w:rPr>
        <w:t>强化应急装备保障能力</w:t>
      </w:r>
      <w:r>
        <w:tab/>
      </w:r>
      <w:r>
        <w:fldChar w:fldCharType="begin"/>
      </w:r>
      <w:r>
        <w:instrText xml:space="preserve"> PAGEREF _Toc87275348 \h </w:instrText>
      </w:r>
      <w:r>
        <w:fldChar w:fldCharType="separate"/>
      </w:r>
      <w:r>
        <w:t>31</w:t>
      </w:r>
      <w:r>
        <w:fldChar w:fldCharType="end"/>
      </w:r>
      <w:r>
        <w:fldChar w:fldCharType="end"/>
      </w:r>
    </w:p>
    <w:p w14:paraId="086370F5">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"_Toc87275349" </w:instrText>
      </w:r>
      <w:r>
        <w:fldChar w:fldCharType="separate"/>
      </w:r>
      <w:r>
        <w:rPr>
          <w:rStyle w:val="42"/>
          <w:rFonts w:ascii="方正仿宋_GBK" w:eastAsia="方正仿宋_GBK"/>
        </w:rPr>
        <w:t>4.</w:t>
      </w:r>
      <w:r>
        <w:rPr>
          <w:rStyle w:val="42"/>
          <w:rFonts w:hint="eastAsia" w:ascii="方正仿宋_GBK" w:eastAsia="方正仿宋_GBK"/>
        </w:rPr>
        <w:t>强化装备物资生产企业管理能力</w:t>
      </w:r>
      <w:r>
        <w:tab/>
      </w:r>
      <w:r>
        <w:fldChar w:fldCharType="begin"/>
      </w:r>
      <w:r>
        <w:instrText xml:space="preserve"> PAGEREF _Toc87275349 \h </w:instrText>
      </w:r>
      <w:r>
        <w:fldChar w:fldCharType="separate"/>
      </w:r>
      <w:r>
        <w:t>31</w:t>
      </w:r>
      <w:r>
        <w:fldChar w:fldCharType="end"/>
      </w:r>
      <w:r>
        <w:fldChar w:fldCharType="end"/>
      </w:r>
    </w:p>
    <w:p w14:paraId="7E74F8C4">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"_Toc87275350" </w:instrText>
      </w:r>
      <w:r>
        <w:fldChar w:fldCharType="separate"/>
      </w:r>
      <w:r>
        <w:rPr>
          <w:rStyle w:val="42"/>
          <w:rFonts w:ascii="方正仿宋_GBK" w:hAnsi="宋体" w:eastAsia="方正仿宋_GBK"/>
        </w:rPr>
        <w:t>5.</w:t>
      </w:r>
      <w:r>
        <w:rPr>
          <w:rStyle w:val="42"/>
          <w:rFonts w:hint="eastAsia" w:ascii="方正仿宋_GBK" w:hAnsi="宋体" w:eastAsia="方正仿宋_GBK"/>
        </w:rPr>
        <w:t>强化重点应急避难场所保障能力</w:t>
      </w:r>
      <w:r>
        <w:tab/>
      </w:r>
      <w:r>
        <w:fldChar w:fldCharType="begin"/>
      </w:r>
      <w:r>
        <w:instrText xml:space="preserve"> PAGEREF _Toc87275350 \h </w:instrText>
      </w:r>
      <w:r>
        <w:fldChar w:fldCharType="separate"/>
      </w:r>
      <w:r>
        <w:t>31</w:t>
      </w:r>
      <w:r>
        <w:fldChar w:fldCharType="end"/>
      </w:r>
      <w:r>
        <w:fldChar w:fldCharType="end"/>
      </w:r>
    </w:p>
    <w:p w14:paraId="4CE4AE4F">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"_Toc87275351" </w:instrText>
      </w:r>
      <w:r>
        <w:fldChar w:fldCharType="separate"/>
      </w:r>
      <w:r>
        <w:rPr>
          <w:rStyle w:val="42"/>
          <w:rFonts w:ascii="方正仿宋_GBK" w:hAnsi="宋体" w:eastAsia="方正仿宋_GBK"/>
        </w:rPr>
        <w:t>6.</w:t>
      </w:r>
      <w:r>
        <w:rPr>
          <w:rStyle w:val="42"/>
          <w:rFonts w:hint="eastAsia" w:ascii="方正仿宋_GBK" w:hAnsi="宋体" w:eastAsia="方正仿宋_GBK"/>
        </w:rPr>
        <w:t>其他保障能力建设</w:t>
      </w:r>
      <w:r>
        <w:tab/>
      </w:r>
      <w:r>
        <w:fldChar w:fldCharType="begin"/>
      </w:r>
      <w:r>
        <w:instrText xml:space="preserve"> PAGEREF _Toc87275351 \h </w:instrText>
      </w:r>
      <w:r>
        <w:fldChar w:fldCharType="separate"/>
      </w:r>
      <w:r>
        <w:t>31</w:t>
      </w:r>
      <w:r>
        <w:fldChar w:fldCharType="end"/>
      </w:r>
      <w:r>
        <w:fldChar w:fldCharType="end"/>
      </w:r>
    </w:p>
    <w:p w14:paraId="5E649121">
      <w:pPr>
        <w:pStyle w:val="32"/>
        <w:tabs>
          <w:tab w:val="right" w:leader="dot" w:pos="8290"/>
        </w:tabs>
        <w:spacing w:line="360" w:lineRule="exact"/>
        <w:rPr>
          <w:rFonts w:hAnsiTheme="minorHAnsi" w:eastAsiaTheme="minorEastAsia" w:cstheme="minorBidi"/>
          <w:smallCaps w:val="0"/>
          <w:sz w:val="21"/>
          <w:szCs w:val="22"/>
        </w:rPr>
      </w:pPr>
      <w:r>
        <w:fldChar w:fldCharType="begin"/>
      </w:r>
      <w:r>
        <w:instrText xml:space="preserve"> HYPERLINK \l "_Toc87275352" </w:instrText>
      </w:r>
      <w:r>
        <w:fldChar w:fldCharType="separate"/>
      </w:r>
      <w:r>
        <w:rPr>
          <w:rStyle w:val="42"/>
          <w:rFonts w:hint="eastAsia" w:ascii="方正楷体_GBK" w:eastAsia="方正楷体_GBK"/>
          <w:bCs/>
        </w:rPr>
        <w:t>（五）加强安全文化教育培训建设</w:t>
      </w:r>
      <w:r>
        <w:tab/>
      </w:r>
      <w:r>
        <w:fldChar w:fldCharType="begin"/>
      </w:r>
      <w:r>
        <w:instrText xml:space="preserve"> PAGEREF _Toc87275352 \h </w:instrText>
      </w:r>
      <w:r>
        <w:fldChar w:fldCharType="separate"/>
      </w:r>
      <w:r>
        <w:t>31</w:t>
      </w:r>
      <w:r>
        <w:fldChar w:fldCharType="end"/>
      </w:r>
      <w:r>
        <w:fldChar w:fldCharType="end"/>
      </w:r>
    </w:p>
    <w:p w14:paraId="4629F8E9">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"_Toc87275353" </w:instrText>
      </w:r>
      <w:r>
        <w:fldChar w:fldCharType="separate"/>
      </w:r>
      <w:r>
        <w:rPr>
          <w:rStyle w:val="42"/>
          <w:rFonts w:ascii="方正仿宋_GBK" w:hAnsi="宋体" w:eastAsia="方正仿宋_GBK"/>
        </w:rPr>
        <w:t>1.</w:t>
      </w:r>
      <w:r>
        <w:rPr>
          <w:rStyle w:val="42"/>
          <w:rFonts w:hint="eastAsia" w:ascii="方正仿宋_GBK" w:hAnsi="宋体" w:eastAsia="方正仿宋_GBK"/>
        </w:rPr>
        <w:t>加大安全文化教育培训联合宣传力度</w:t>
      </w:r>
      <w:r>
        <w:tab/>
      </w:r>
      <w:r>
        <w:fldChar w:fldCharType="begin"/>
      </w:r>
      <w:r>
        <w:instrText xml:space="preserve"> PAGEREF _Toc87275353 \h </w:instrText>
      </w:r>
      <w:r>
        <w:fldChar w:fldCharType="separate"/>
      </w:r>
      <w:r>
        <w:t>31</w:t>
      </w:r>
      <w:r>
        <w:fldChar w:fldCharType="end"/>
      </w:r>
      <w:r>
        <w:fldChar w:fldCharType="end"/>
      </w:r>
    </w:p>
    <w:p w14:paraId="1809739E">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"_Toc87275354" </w:instrText>
      </w:r>
      <w:r>
        <w:fldChar w:fldCharType="separate"/>
      </w:r>
      <w:r>
        <w:rPr>
          <w:rStyle w:val="42"/>
          <w:rFonts w:ascii="方正仿宋_GBK" w:hAnsi="宋体" w:eastAsia="方正仿宋_GBK"/>
        </w:rPr>
        <w:t>2.</w:t>
      </w:r>
      <w:r>
        <w:rPr>
          <w:rStyle w:val="42"/>
          <w:rFonts w:hint="eastAsia" w:ascii="方正仿宋_GBK" w:hAnsi="宋体" w:eastAsia="方正仿宋_GBK"/>
        </w:rPr>
        <w:t>加强企业、社区和群众安全文化意识</w:t>
      </w:r>
      <w:r>
        <w:tab/>
      </w:r>
      <w:r>
        <w:fldChar w:fldCharType="begin"/>
      </w:r>
      <w:r>
        <w:instrText xml:space="preserve"> PAGEREF _Toc87275354 \h </w:instrText>
      </w:r>
      <w:r>
        <w:fldChar w:fldCharType="separate"/>
      </w:r>
      <w:r>
        <w:t>32</w:t>
      </w:r>
      <w:r>
        <w:fldChar w:fldCharType="end"/>
      </w:r>
      <w:r>
        <w:fldChar w:fldCharType="end"/>
      </w:r>
    </w:p>
    <w:p w14:paraId="768E6AA7">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"_Toc87275355" </w:instrText>
      </w:r>
      <w:r>
        <w:fldChar w:fldCharType="separate"/>
      </w:r>
      <w:r>
        <w:rPr>
          <w:rStyle w:val="42"/>
          <w:rFonts w:ascii="方正仿宋_GBK" w:hAnsi="宋体" w:eastAsia="方正仿宋_GBK"/>
        </w:rPr>
        <w:t>3.</w:t>
      </w:r>
      <w:r>
        <w:rPr>
          <w:rStyle w:val="42"/>
          <w:rFonts w:hint="eastAsia" w:ascii="方正仿宋_GBK" w:hAnsi="宋体" w:eastAsia="方正仿宋_GBK"/>
        </w:rPr>
        <w:t>加强安全文化活动宣传及传播手段</w:t>
      </w:r>
      <w:r>
        <w:tab/>
      </w:r>
      <w:r>
        <w:fldChar w:fldCharType="begin"/>
      </w:r>
      <w:r>
        <w:instrText xml:space="preserve"> PAGEREF _Toc87275355 \h </w:instrText>
      </w:r>
      <w:r>
        <w:fldChar w:fldCharType="separate"/>
      </w:r>
      <w:r>
        <w:t>32</w:t>
      </w:r>
      <w:r>
        <w:fldChar w:fldCharType="end"/>
      </w:r>
      <w:r>
        <w:fldChar w:fldCharType="end"/>
      </w:r>
    </w:p>
    <w:p w14:paraId="6C960E99">
      <w:pPr>
        <w:pStyle w:val="32"/>
        <w:tabs>
          <w:tab w:val="right" w:leader="dot" w:pos="8290"/>
        </w:tabs>
        <w:spacing w:line="360" w:lineRule="exact"/>
        <w:rPr>
          <w:rFonts w:hAnsiTheme="minorHAnsi" w:eastAsiaTheme="minorEastAsia" w:cstheme="minorBidi"/>
          <w:smallCaps w:val="0"/>
          <w:sz w:val="21"/>
          <w:szCs w:val="22"/>
        </w:rPr>
      </w:pPr>
      <w:r>
        <w:fldChar w:fldCharType="begin"/>
      </w:r>
      <w:r>
        <w:instrText xml:space="preserve"> HYPERLINK \l "_Toc87275356" </w:instrText>
      </w:r>
      <w:r>
        <w:fldChar w:fldCharType="separate"/>
      </w:r>
      <w:r>
        <w:rPr>
          <w:rStyle w:val="42"/>
          <w:rFonts w:hint="eastAsia" w:ascii="方正楷体_GBK" w:eastAsia="方正楷体_GBK"/>
          <w:bCs/>
        </w:rPr>
        <w:t>（六）推动应急管理业态创新</w:t>
      </w:r>
      <w:r>
        <w:tab/>
      </w:r>
      <w:r>
        <w:fldChar w:fldCharType="begin"/>
      </w:r>
      <w:r>
        <w:instrText xml:space="preserve"> PAGEREF _Toc87275356 \h </w:instrText>
      </w:r>
      <w:r>
        <w:fldChar w:fldCharType="separate"/>
      </w:r>
      <w:r>
        <w:t>32</w:t>
      </w:r>
      <w:r>
        <w:fldChar w:fldCharType="end"/>
      </w:r>
      <w:r>
        <w:fldChar w:fldCharType="end"/>
      </w:r>
    </w:p>
    <w:p w14:paraId="546D433D">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"_Toc87275357" </w:instrText>
      </w:r>
      <w:r>
        <w:fldChar w:fldCharType="separate"/>
      </w:r>
      <w:r>
        <w:rPr>
          <w:rStyle w:val="42"/>
          <w:rFonts w:ascii="方正仿宋_GBK" w:hAnsi="宋体" w:eastAsia="方正仿宋_GBK"/>
        </w:rPr>
        <w:t>1.</w:t>
      </w:r>
      <w:r>
        <w:rPr>
          <w:rStyle w:val="42"/>
          <w:rFonts w:hint="eastAsia" w:ascii="方正仿宋_GBK" w:hAnsi="宋体" w:eastAsia="方正仿宋_GBK"/>
        </w:rPr>
        <w:t>人才创新</w:t>
      </w:r>
      <w:r>
        <w:tab/>
      </w:r>
      <w:r>
        <w:fldChar w:fldCharType="begin"/>
      </w:r>
      <w:r>
        <w:instrText xml:space="preserve"> PAGEREF _Toc87275357 \h </w:instrText>
      </w:r>
      <w:r>
        <w:fldChar w:fldCharType="separate"/>
      </w:r>
      <w:r>
        <w:t>32</w:t>
      </w:r>
      <w:r>
        <w:fldChar w:fldCharType="end"/>
      </w:r>
      <w:r>
        <w:fldChar w:fldCharType="end"/>
      </w:r>
    </w:p>
    <w:p w14:paraId="4C6C1E60">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"_Toc87275358" </w:instrText>
      </w:r>
      <w:r>
        <w:fldChar w:fldCharType="separate"/>
      </w:r>
      <w:r>
        <w:rPr>
          <w:rStyle w:val="42"/>
          <w:rFonts w:ascii="方正仿宋_GBK" w:hAnsi="宋体" w:eastAsia="方正仿宋_GBK"/>
        </w:rPr>
        <w:t>2.</w:t>
      </w:r>
      <w:r>
        <w:rPr>
          <w:rStyle w:val="42"/>
          <w:rFonts w:hint="eastAsia" w:ascii="方正仿宋_GBK" w:hAnsi="宋体" w:eastAsia="方正仿宋_GBK"/>
        </w:rPr>
        <w:t>科技创新</w:t>
      </w:r>
      <w:r>
        <w:tab/>
      </w:r>
      <w:r>
        <w:fldChar w:fldCharType="begin"/>
      </w:r>
      <w:r>
        <w:instrText xml:space="preserve"> PAGEREF _Toc87275358 \h </w:instrText>
      </w:r>
      <w:r>
        <w:fldChar w:fldCharType="separate"/>
      </w:r>
      <w:r>
        <w:t>33</w:t>
      </w:r>
      <w:r>
        <w:fldChar w:fldCharType="end"/>
      </w:r>
      <w:r>
        <w:fldChar w:fldCharType="end"/>
      </w:r>
    </w:p>
    <w:p w14:paraId="0B624622">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"_Toc87275359" </w:instrText>
      </w:r>
      <w:r>
        <w:fldChar w:fldCharType="separate"/>
      </w:r>
      <w:r>
        <w:rPr>
          <w:rStyle w:val="42"/>
          <w:rFonts w:ascii="方正仿宋_GBK" w:eastAsia="方正仿宋_GBK"/>
        </w:rPr>
        <w:t>3.</w:t>
      </w:r>
      <w:r>
        <w:rPr>
          <w:rStyle w:val="42"/>
          <w:rFonts w:hint="eastAsia" w:ascii="方正仿宋_GBK" w:eastAsia="方正仿宋_GBK"/>
        </w:rPr>
        <w:t>产业创新</w:t>
      </w:r>
      <w:r>
        <w:tab/>
      </w:r>
      <w:r>
        <w:fldChar w:fldCharType="begin"/>
      </w:r>
      <w:r>
        <w:instrText xml:space="preserve"> PAGEREF _Toc87275359 \h </w:instrText>
      </w:r>
      <w:r>
        <w:fldChar w:fldCharType="separate"/>
      </w:r>
      <w:r>
        <w:t>33</w:t>
      </w:r>
      <w:r>
        <w:fldChar w:fldCharType="end"/>
      </w:r>
      <w:r>
        <w:fldChar w:fldCharType="end"/>
      </w:r>
    </w:p>
    <w:p w14:paraId="08E3D95C">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"_Toc87275360" </w:instrText>
      </w:r>
      <w:r>
        <w:fldChar w:fldCharType="separate"/>
      </w:r>
      <w:r>
        <w:rPr>
          <w:rStyle w:val="42"/>
          <w:rFonts w:ascii="方正仿宋_GBK" w:hAnsi="宋体" w:eastAsia="方正仿宋_GBK"/>
        </w:rPr>
        <w:t>4.</w:t>
      </w:r>
      <w:r>
        <w:rPr>
          <w:rStyle w:val="42"/>
          <w:rFonts w:hint="eastAsia" w:ascii="方正仿宋_GBK" w:hAnsi="宋体" w:eastAsia="方正仿宋_GBK"/>
        </w:rPr>
        <w:t>技术创新</w:t>
      </w:r>
      <w:r>
        <w:tab/>
      </w:r>
      <w:r>
        <w:fldChar w:fldCharType="begin"/>
      </w:r>
      <w:r>
        <w:instrText xml:space="preserve"> PAGEREF _Toc87275360 \h </w:instrText>
      </w:r>
      <w:r>
        <w:fldChar w:fldCharType="separate"/>
      </w:r>
      <w:r>
        <w:t>34</w:t>
      </w:r>
      <w:r>
        <w:fldChar w:fldCharType="end"/>
      </w:r>
      <w:r>
        <w:fldChar w:fldCharType="end"/>
      </w:r>
    </w:p>
    <w:p w14:paraId="47807DDD">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"_Toc87275361" </w:instrText>
      </w:r>
      <w:r>
        <w:fldChar w:fldCharType="separate"/>
      </w:r>
      <w:r>
        <w:rPr>
          <w:rStyle w:val="42"/>
          <w:rFonts w:ascii="方正仿宋_GBK" w:hAnsi="宋体" w:eastAsia="方正仿宋_GBK"/>
        </w:rPr>
        <w:t>5.</w:t>
      </w:r>
      <w:r>
        <w:rPr>
          <w:rStyle w:val="42"/>
          <w:rFonts w:hint="eastAsia" w:ascii="方正仿宋_GBK" w:hAnsi="宋体" w:eastAsia="方正仿宋_GBK"/>
        </w:rPr>
        <w:t>文化创新</w:t>
      </w:r>
      <w:r>
        <w:tab/>
      </w:r>
      <w:r>
        <w:fldChar w:fldCharType="begin"/>
      </w:r>
      <w:r>
        <w:instrText xml:space="preserve"> PAGEREF _Toc87275361 \h </w:instrText>
      </w:r>
      <w:r>
        <w:fldChar w:fldCharType="separate"/>
      </w:r>
      <w:r>
        <w:t>35</w:t>
      </w:r>
      <w:r>
        <w:fldChar w:fldCharType="end"/>
      </w:r>
      <w:r>
        <w:fldChar w:fldCharType="end"/>
      </w:r>
    </w:p>
    <w:p w14:paraId="072C1E69">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"_Toc87275362" </w:instrText>
      </w:r>
      <w:r>
        <w:fldChar w:fldCharType="separate"/>
      </w:r>
      <w:r>
        <w:rPr>
          <w:rStyle w:val="42"/>
          <w:rFonts w:ascii="方正仿宋_GBK" w:hAnsi="宋体" w:eastAsia="方正仿宋_GBK"/>
        </w:rPr>
        <w:t>6.</w:t>
      </w:r>
      <w:r>
        <w:rPr>
          <w:rStyle w:val="42"/>
          <w:rFonts w:hint="eastAsia" w:ascii="方正仿宋_GBK" w:hAnsi="宋体" w:eastAsia="方正仿宋_GBK"/>
        </w:rPr>
        <w:t>市场创新</w:t>
      </w:r>
      <w:r>
        <w:tab/>
      </w:r>
      <w:r>
        <w:fldChar w:fldCharType="begin"/>
      </w:r>
      <w:r>
        <w:instrText xml:space="preserve"> PAGEREF _Toc87275362 \h </w:instrText>
      </w:r>
      <w:r>
        <w:fldChar w:fldCharType="separate"/>
      </w:r>
      <w:r>
        <w:t>35</w:t>
      </w:r>
      <w:r>
        <w:fldChar w:fldCharType="end"/>
      </w:r>
      <w:r>
        <w:fldChar w:fldCharType="end"/>
      </w:r>
    </w:p>
    <w:p w14:paraId="09CEBD71">
      <w:pPr>
        <w:pStyle w:val="32"/>
        <w:tabs>
          <w:tab w:val="right" w:leader="dot" w:pos="8290"/>
        </w:tabs>
        <w:spacing w:line="360" w:lineRule="exact"/>
        <w:rPr>
          <w:rFonts w:hAnsiTheme="minorHAnsi" w:eastAsiaTheme="minorEastAsia" w:cstheme="minorBidi"/>
          <w:smallCaps w:val="0"/>
          <w:sz w:val="21"/>
          <w:szCs w:val="22"/>
        </w:rPr>
      </w:pPr>
      <w:r>
        <w:fldChar w:fldCharType="begin"/>
      </w:r>
      <w:r>
        <w:instrText xml:space="preserve"> HYPERLINK \l "_Toc87275363" </w:instrText>
      </w:r>
      <w:r>
        <w:fldChar w:fldCharType="separate"/>
      </w:r>
      <w:r>
        <w:rPr>
          <w:rStyle w:val="42"/>
          <w:rFonts w:hint="eastAsia" w:ascii="方正楷体_GBK" w:eastAsia="方正楷体_GBK"/>
          <w:bCs/>
        </w:rPr>
        <w:t>（七）推进应急管理信息化建设</w:t>
      </w:r>
      <w:r>
        <w:tab/>
      </w:r>
      <w:r>
        <w:fldChar w:fldCharType="begin"/>
      </w:r>
      <w:r>
        <w:instrText xml:space="preserve"> PAGEREF _Toc87275363 \h </w:instrText>
      </w:r>
      <w:r>
        <w:fldChar w:fldCharType="separate"/>
      </w:r>
      <w:r>
        <w:t>35</w:t>
      </w:r>
      <w:r>
        <w:fldChar w:fldCharType="end"/>
      </w:r>
      <w:r>
        <w:fldChar w:fldCharType="end"/>
      </w:r>
    </w:p>
    <w:p w14:paraId="2F65032E">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"_Toc87275364" </w:instrText>
      </w:r>
      <w:r>
        <w:fldChar w:fldCharType="separate"/>
      </w:r>
      <w:r>
        <w:rPr>
          <w:rStyle w:val="42"/>
          <w:rFonts w:ascii="方正仿宋_GBK" w:hAnsi="宋体" w:eastAsia="方正仿宋_GBK"/>
        </w:rPr>
        <w:t>1.</w:t>
      </w:r>
      <w:r>
        <w:rPr>
          <w:rStyle w:val="42"/>
          <w:rFonts w:hint="eastAsia" w:ascii="方正仿宋_GBK" w:hAnsi="宋体" w:eastAsia="方正仿宋_GBK"/>
        </w:rPr>
        <w:t>提升风险监测预警能力建设</w:t>
      </w:r>
      <w:r>
        <w:tab/>
      </w:r>
      <w:r>
        <w:fldChar w:fldCharType="begin"/>
      </w:r>
      <w:r>
        <w:instrText xml:space="preserve"> PAGEREF _Toc87275364 \h </w:instrText>
      </w:r>
      <w:r>
        <w:fldChar w:fldCharType="separate"/>
      </w:r>
      <w:r>
        <w:t>36</w:t>
      </w:r>
      <w:r>
        <w:fldChar w:fldCharType="end"/>
      </w:r>
      <w:r>
        <w:fldChar w:fldCharType="end"/>
      </w:r>
    </w:p>
    <w:p w14:paraId="5D4CCD4F">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"_Toc87275365" </w:instrText>
      </w:r>
      <w:r>
        <w:fldChar w:fldCharType="separate"/>
      </w:r>
      <w:r>
        <w:rPr>
          <w:rStyle w:val="42"/>
          <w:rFonts w:ascii="方正仿宋_GBK" w:hAnsi="宋体" w:eastAsia="方正仿宋_GBK"/>
        </w:rPr>
        <w:t>2.</w:t>
      </w:r>
      <w:r>
        <w:rPr>
          <w:rStyle w:val="42"/>
          <w:rFonts w:hint="eastAsia" w:ascii="方正仿宋_GBK" w:hAnsi="宋体" w:eastAsia="方正仿宋_GBK"/>
        </w:rPr>
        <w:t>提升辅助指挥决策能力建设</w:t>
      </w:r>
      <w:r>
        <w:tab/>
      </w:r>
      <w:r>
        <w:fldChar w:fldCharType="begin"/>
      </w:r>
      <w:r>
        <w:instrText xml:space="preserve"> PAGEREF _Toc87275365 \h </w:instrText>
      </w:r>
      <w:r>
        <w:fldChar w:fldCharType="separate"/>
      </w:r>
      <w:r>
        <w:t>36</w:t>
      </w:r>
      <w:r>
        <w:fldChar w:fldCharType="end"/>
      </w:r>
      <w:r>
        <w:fldChar w:fldCharType="end"/>
      </w:r>
    </w:p>
    <w:p w14:paraId="792A80C0">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"_Toc87275366" </w:instrText>
      </w:r>
      <w:r>
        <w:fldChar w:fldCharType="separate"/>
      </w:r>
      <w:r>
        <w:rPr>
          <w:rStyle w:val="42"/>
          <w:rFonts w:ascii="方正仿宋_GBK" w:hAnsi="宋体" w:eastAsia="方正仿宋_GBK"/>
        </w:rPr>
        <w:t>3.</w:t>
      </w:r>
      <w:r>
        <w:rPr>
          <w:rStyle w:val="42"/>
          <w:rFonts w:hint="eastAsia" w:ascii="方正仿宋_GBK" w:hAnsi="宋体" w:eastAsia="方正仿宋_GBK"/>
        </w:rPr>
        <w:t>提升应急救援实战能力建设</w:t>
      </w:r>
      <w:r>
        <w:tab/>
      </w:r>
      <w:r>
        <w:fldChar w:fldCharType="begin"/>
      </w:r>
      <w:r>
        <w:instrText xml:space="preserve"> PAGEREF _Toc87275366 \h </w:instrText>
      </w:r>
      <w:r>
        <w:fldChar w:fldCharType="separate"/>
      </w:r>
      <w:r>
        <w:t>36</w:t>
      </w:r>
      <w:r>
        <w:fldChar w:fldCharType="end"/>
      </w:r>
      <w:r>
        <w:fldChar w:fldCharType="end"/>
      </w:r>
    </w:p>
    <w:p w14:paraId="64ECC8BF">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"_Toc87275367" </w:instrText>
      </w:r>
      <w:r>
        <w:fldChar w:fldCharType="separate"/>
      </w:r>
      <w:r>
        <w:rPr>
          <w:rStyle w:val="42"/>
          <w:rFonts w:ascii="方正仿宋_GBK" w:hAnsi="宋体" w:eastAsia="方正仿宋_GBK"/>
        </w:rPr>
        <w:t>4.</w:t>
      </w:r>
      <w:r>
        <w:rPr>
          <w:rStyle w:val="42"/>
          <w:rFonts w:hint="eastAsia" w:ascii="方正仿宋_GBK" w:hAnsi="宋体" w:eastAsia="方正仿宋_GBK"/>
        </w:rPr>
        <w:t>提升应急监管执法能力建设</w:t>
      </w:r>
      <w:r>
        <w:tab/>
      </w:r>
      <w:r>
        <w:fldChar w:fldCharType="begin"/>
      </w:r>
      <w:r>
        <w:instrText xml:space="preserve"> PAGEREF _Toc87275367 \h </w:instrText>
      </w:r>
      <w:r>
        <w:fldChar w:fldCharType="separate"/>
      </w:r>
      <w:r>
        <w:t>36</w:t>
      </w:r>
      <w:r>
        <w:fldChar w:fldCharType="end"/>
      </w:r>
      <w:r>
        <w:fldChar w:fldCharType="end"/>
      </w:r>
    </w:p>
    <w:p w14:paraId="6BB189CF">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"_Toc87275368" </w:instrText>
      </w:r>
      <w:r>
        <w:fldChar w:fldCharType="separate"/>
      </w:r>
      <w:r>
        <w:rPr>
          <w:rStyle w:val="42"/>
          <w:rFonts w:ascii="方正仿宋_GBK" w:hAnsi="宋体" w:eastAsia="方正仿宋_GBK"/>
        </w:rPr>
        <w:t>5.</w:t>
      </w:r>
      <w:r>
        <w:rPr>
          <w:rStyle w:val="42"/>
          <w:rFonts w:hint="eastAsia" w:ascii="方正仿宋_GBK" w:hAnsi="宋体" w:eastAsia="方正仿宋_GBK"/>
        </w:rPr>
        <w:t>加强应急管理智库体系建设</w:t>
      </w:r>
      <w:r>
        <w:tab/>
      </w:r>
      <w:r>
        <w:fldChar w:fldCharType="begin"/>
      </w:r>
      <w:r>
        <w:instrText xml:space="preserve"> PAGEREF _Toc87275368 \h </w:instrText>
      </w:r>
      <w:r>
        <w:fldChar w:fldCharType="separate"/>
      </w:r>
      <w:r>
        <w:t>37</w:t>
      </w:r>
      <w:r>
        <w:fldChar w:fldCharType="end"/>
      </w:r>
      <w:r>
        <w:fldChar w:fldCharType="end"/>
      </w:r>
    </w:p>
    <w:p w14:paraId="05195EE8">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"_Toc87275369" </w:instrText>
      </w:r>
      <w:r>
        <w:fldChar w:fldCharType="separate"/>
      </w:r>
      <w:r>
        <w:rPr>
          <w:rStyle w:val="42"/>
          <w:rFonts w:ascii="方正仿宋_GBK" w:hAnsi="宋体" w:eastAsia="方正仿宋_GBK"/>
        </w:rPr>
        <w:t>6.</w:t>
      </w:r>
      <w:r>
        <w:rPr>
          <w:rStyle w:val="42"/>
          <w:rFonts w:hint="eastAsia" w:ascii="方正仿宋_GBK" w:hAnsi="宋体" w:eastAsia="方正仿宋_GBK"/>
        </w:rPr>
        <w:t>加强基层信息上报渠道多元化建设</w:t>
      </w:r>
      <w:r>
        <w:tab/>
      </w:r>
      <w:r>
        <w:fldChar w:fldCharType="begin"/>
      </w:r>
      <w:r>
        <w:instrText xml:space="preserve"> PAGEREF _Toc87275369 \h </w:instrText>
      </w:r>
      <w:r>
        <w:fldChar w:fldCharType="separate"/>
      </w:r>
      <w:r>
        <w:t>37</w:t>
      </w:r>
      <w:r>
        <w:fldChar w:fldCharType="end"/>
      </w:r>
      <w:r>
        <w:fldChar w:fldCharType="end"/>
      </w:r>
    </w:p>
    <w:p w14:paraId="4D47EADB">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"_Toc87275370" </w:instrText>
      </w:r>
      <w:r>
        <w:fldChar w:fldCharType="separate"/>
      </w:r>
      <w:r>
        <w:rPr>
          <w:rStyle w:val="42"/>
          <w:rFonts w:ascii="方正仿宋_GBK" w:hAnsi="宋体" w:eastAsia="方正仿宋_GBK"/>
        </w:rPr>
        <w:t>7.</w:t>
      </w:r>
      <w:r>
        <w:rPr>
          <w:rStyle w:val="42"/>
          <w:rFonts w:hint="eastAsia" w:ascii="方正仿宋_GBK" w:hAnsi="宋体" w:eastAsia="方正仿宋_GBK"/>
        </w:rPr>
        <w:t>完善应急响</w:t>
      </w:r>
      <w:r>
        <w:rPr>
          <w:rStyle w:val="42"/>
          <w:rFonts w:hint="eastAsia" w:ascii="方正仿宋_GBK" w:hAnsi="宋体" w:eastAsia="方正仿宋_GBK"/>
          <w:lang w:eastAsia="zh-CN"/>
        </w:rPr>
        <w:t>应急预案</w:t>
      </w:r>
      <w:r>
        <w:rPr>
          <w:rStyle w:val="42"/>
          <w:rFonts w:hint="eastAsia" w:ascii="方正仿宋_GBK" w:hAnsi="宋体" w:eastAsia="方正仿宋_GBK"/>
        </w:rPr>
        <w:t>数字化体系建设</w:t>
      </w:r>
      <w:r>
        <w:tab/>
      </w:r>
      <w:r>
        <w:fldChar w:fldCharType="begin"/>
      </w:r>
      <w:r>
        <w:instrText xml:space="preserve"> PAGEREF _Toc87275370 \h </w:instrText>
      </w:r>
      <w:r>
        <w:fldChar w:fldCharType="separate"/>
      </w:r>
      <w:r>
        <w:t>37</w:t>
      </w:r>
      <w:r>
        <w:fldChar w:fldCharType="end"/>
      </w:r>
      <w:r>
        <w:fldChar w:fldCharType="end"/>
      </w:r>
    </w:p>
    <w:p w14:paraId="38840E0C">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"_Toc87275371" </w:instrText>
      </w:r>
      <w:r>
        <w:fldChar w:fldCharType="separate"/>
      </w:r>
      <w:r>
        <w:rPr>
          <w:rStyle w:val="42"/>
          <w:rFonts w:ascii="方正仿宋_GBK" w:hAnsi="宋体" w:eastAsia="方正仿宋_GBK"/>
        </w:rPr>
        <w:t>8.</w:t>
      </w:r>
      <w:r>
        <w:rPr>
          <w:rStyle w:val="42"/>
          <w:rFonts w:hint="eastAsia" w:ascii="方正仿宋_GBK" w:hAnsi="宋体" w:eastAsia="方正仿宋_GBK"/>
        </w:rPr>
        <w:t>健全重大舆情监测研判、预警、发布机制体制建设</w:t>
      </w:r>
      <w:r>
        <w:tab/>
      </w:r>
      <w:r>
        <w:fldChar w:fldCharType="begin"/>
      </w:r>
      <w:r>
        <w:instrText xml:space="preserve"> PAGEREF _Toc87275371 \h </w:instrText>
      </w:r>
      <w:r>
        <w:fldChar w:fldCharType="separate"/>
      </w:r>
      <w:r>
        <w:t>37</w:t>
      </w:r>
      <w:r>
        <w:fldChar w:fldCharType="end"/>
      </w:r>
      <w:r>
        <w:fldChar w:fldCharType="end"/>
      </w:r>
    </w:p>
    <w:p w14:paraId="3AB037E0">
      <w:pPr>
        <w:pStyle w:val="28"/>
        <w:spacing w:line="360" w:lineRule="exact"/>
        <w:rPr>
          <w:rFonts w:hAnsiTheme="minorHAnsi" w:eastAsiaTheme="minorEastAsia" w:cstheme="minorBidi"/>
          <w:b w:val="0"/>
          <w:bCs w:val="0"/>
          <w:caps w:val="0"/>
          <w:sz w:val="21"/>
          <w:szCs w:val="22"/>
        </w:rPr>
      </w:pPr>
      <w:r>
        <w:fldChar w:fldCharType="begin"/>
      </w:r>
      <w:r>
        <w:instrText xml:space="preserve"> HYPERLINK \l "_Toc87275372" </w:instrText>
      </w:r>
      <w:r>
        <w:fldChar w:fldCharType="separate"/>
      </w:r>
      <w:r>
        <w:rPr>
          <w:rStyle w:val="42"/>
          <w:rFonts w:hint="eastAsia" w:ascii="方正黑体_GBK" w:eastAsia="方正黑体_GBK"/>
          <w:kern w:val="44"/>
        </w:rPr>
        <w:t>五、重点工程</w:t>
      </w:r>
      <w:r>
        <w:tab/>
      </w:r>
      <w:r>
        <w:fldChar w:fldCharType="begin"/>
      </w:r>
      <w:r>
        <w:instrText xml:space="preserve"> PAGEREF _Toc87275372 \h </w:instrText>
      </w:r>
      <w:r>
        <w:fldChar w:fldCharType="separate"/>
      </w:r>
      <w:r>
        <w:t>38</w:t>
      </w:r>
      <w:r>
        <w:fldChar w:fldCharType="end"/>
      </w:r>
      <w:r>
        <w:fldChar w:fldCharType="end"/>
      </w:r>
    </w:p>
    <w:p w14:paraId="241FE83C">
      <w:pPr>
        <w:pStyle w:val="32"/>
        <w:tabs>
          <w:tab w:val="right" w:leader="dot" w:pos="8290"/>
        </w:tabs>
        <w:spacing w:line="360" w:lineRule="exact"/>
        <w:rPr>
          <w:rFonts w:hAnsiTheme="minorHAnsi" w:eastAsiaTheme="minorEastAsia" w:cstheme="minorBidi"/>
          <w:smallCaps w:val="0"/>
          <w:sz w:val="21"/>
          <w:szCs w:val="22"/>
        </w:rPr>
      </w:pPr>
      <w:r>
        <w:fldChar w:fldCharType="begin"/>
      </w:r>
      <w:r>
        <w:instrText xml:space="preserve"> HYPERLINK \l "_Toc87275373" </w:instrText>
      </w:r>
      <w:r>
        <w:fldChar w:fldCharType="separate"/>
      </w:r>
      <w:r>
        <w:rPr>
          <w:rStyle w:val="42"/>
          <w:rFonts w:hint="eastAsia" w:ascii="方正楷体_GBK" w:eastAsia="方正楷体_GBK"/>
          <w:bCs/>
        </w:rPr>
        <w:t>（一）防灾减灾能力提升工程</w:t>
      </w:r>
      <w:r>
        <w:tab/>
      </w:r>
      <w:r>
        <w:fldChar w:fldCharType="begin"/>
      </w:r>
      <w:r>
        <w:instrText xml:space="preserve"> PAGEREF _Toc87275373 \h </w:instrText>
      </w:r>
      <w:r>
        <w:fldChar w:fldCharType="separate"/>
      </w:r>
      <w:r>
        <w:t>38</w:t>
      </w:r>
      <w:r>
        <w:fldChar w:fldCharType="end"/>
      </w:r>
      <w:r>
        <w:fldChar w:fldCharType="end"/>
      </w:r>
    </w:p>
    <w:p w14:paraId="69A4999D">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"_Toc87275374" </w:instrText>
      </w:r>
      <w:r>
        <w:fldChar w:fldCharType="separate"/>
      </w:r>
      <w:r>
        <w:rPr>
          <w:rStyle w:val="42"/>
          <w:rFonts w:ascii="方正仿宋_GBK" w:hAnsi="宋体" w:eastAsia="方正仿宋_GBK"/>
        </w:rPr>
        <w:t>1.</w:t>
      </w:r>
      <w:r>
        <w:rPr>
          <w:rStyle w:val="42"/>
          <w:rFonts w:hint="eastAsia" w:ascii="方正仿宋_GBK" w:hAnsi="宋体" w:eastAsia="方正仿宋_GBK"/>
        </w:rPr>
        <w:t>防灾减灾基础设施保障工程</w:t>
      </w:r>
      <w:r>
        <w:tab/>
      </w:r>
      <w:r>
        <w:fldChar w:fldCharType="begin"/>
      </w:r>
      <w:r>
        <w:instrText xml:space="preserve"> PAGEREF _Toc87275374 \h </w:instrText>
      </w:r>
      <w:r>
        <w:fldChar w:fldCharType="separate"/>
      </w:r>
      <w:r>
        <w:t>38</w:t>
      </w:r>
      <w:r>
        <w:fldChar w:fldCharType="end"/>
      </w:r>
      <w:r>
        <w:fldChar w:fldCharType="end"/>
      </w:r>
    </w:p>
    <w:p w14:paraId="63C19267">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"_Toc87275375" </w:instrText>
      </w:r>
      <w:r>
        <w:fldChar w:fldCharType="separate"/>
      </w:r>
      <w:r>
        <w:rPr>
          <w:rStyle w:val="42"/>
          <w:rFonts w:ascii="方正仿宋_GBK" w:hAnsi="宋体" w:eastAsia="方正仿宋_GBK"/>
        </w:rPr>
        <w:t>2.</w:t>
      </w:r>
      <w:r>
        <w:rPr>
          <w:rStyle w:val="42"/>
          <w:rFonts w:hint="eastAsia" w:ascii="方正仿宋_GBK" w:hAnsi="宋体" w:eastAsia="方正仿宋_GBK"/>
        </w:rPr>
        <w:t>第一次全国自然灾害综合风险普查</w:t>
      </w:r>
      <w:r>
        <w:tab/>
      </w:r>
      <w:r>
        <w:fldChar w:fldCharType="begin"/>
      </w:r>
      <w:r>
        <w:instrText xml:space="preserve"> PAGEREF _Toc87275375 \h </w:instrText>
      </w:r>
      <w:r>
        <w:fldChar w:fldCharType="separate"/>
      </w:r>
      <w:r>
        <w:t>38</w:t>
      </w:r>
      <w:r>
        <w:fldChar w:fldCharType="end"/>
      </w:r>
      <w:r>
        <w:fldChar w:fldCharType="end"/>
      </w:r>
    </w:p>
    <w:p w14:paraId="002E06DC">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"_Toc87275376" </w:instrText>
      </w:r>
      <w:r>
        <w:fldChar w:fldCharType="separate"/>
      </w:r>
      <w:r>
        <w:rPr>
          <w:rStyle w:val="42"/>
          <w:rFonts w:ascii="方正仿宋_GBK" w:hAnsi="宋体" w:eastAsia="方正仿宋_GBK"/>
        </w:rPr>
        <w:t>3.</w:t>
      </w:r>
      <w:r>
        <w:rPr>
          <w:rStyle w:val="42"/>
          <w:rFonts w:hint="eastAsia" w:ascii="方正仿宋_GBK" w:hAnsi="宋体" w:eastAsia="方正仿宋_GBK"/>
        </w:rPr>
        <w:t>城市生命线工程监测预警工程</w:t>
      </w:r>
      <w:r>
        <w:tab/>
      </w:r>
      <w:r>
        <w:fldChar w:fldCharType="begin"/>
      </w:r>
      <w:r>
        <w:instrText xml:space="preserve"> PAGEREF _Toc87275376 \h </w:instrText>
      </w:r>
      <w:r>
        <w:fldChar w:fldCharType="separate"/>
      </w:r>
      <w:r>
        <w:t>39</w:t>
      </w:r>
      <w:r>
        <w:fldChar w:fldCharType="end"/>
      </w:r>
      <w:r>
        <w:fldChar w:fldCharType="end"/>
      </w:r>
    </w:p>
    <w:p w14:paraId="0653CA9B">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"_Toc87275377" </w:instrText>
      </w:r>
      <w:r>
        <w:fldChar w:fldCharType="separate"/>
      </w:r>
      <w:r>
        <w:rPr>
          <w:rStyle w:val="42"/>
          <w:rFonts w:ascii="方正仿宋_GBK" w:hAnsi="宋体" w:eastAsia="方正仿宋_GBK"/>
        </w:rPr>
        <w:t>4.</w:t>
      </w:r>
      <w:r>
        <w:rPr>
          <w:rStyle w:val="42"/>
          <w:rFonts w:hint="eastAsia" w:ascii="方正仿宋_GBK" w:hAnsi="宋体" w:eastAsia="方正仿宋_GBK"/>
        </w:rPr>
        <w:t>防灾减灾知识强化建设工程</w:t>
      </w:r>
      <w:r>
        <w:tab/>
      </w:r>
      <w:r>
        <w:fldChar w:fldCharType="begin"/>
      </w:r>
      <w:r>
        <w:instrText xml:space="preserve"> PAGEREF _Toc87275377 \h </w:instrText>
      </w:r>
      <w:r>
        <w:fldChar w:fldCharType="separate"/>
      </w:r>
      <w:r>
        <w:t>39</w:t>
      </w:r>
      <w:r>
        <w:fldChar w:fldCharType="end"/>
      </w:r>
      <w:r>
        <w:fldChar w:fldCharType="end"/>
      </w:r>
    </w:p>
    <w:p w14:paraId="2B1C0F11">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"_Toc87275378" </w:instrText>
      </w:r>
      <w:r>
        <w:fldChar w:fldCharType="separate"/>
      </w:r>
      <w:r>
        <w:rPr>
          <w:rStyle w:val="42"/>
          <w:rFonts w:ascii="方正仿宋_GBK" w:hAnsi="宋体" w:eastAsia="方正仿宋_GBK"/>
        </w:rPr>
        <w:t>5.</w:t>
      </w:r>
      <w:r>
        <w:rPr>
          <w:rStyle w:val="42"/>
          <w:rFonts w:hint="eastAsia" w:ascii="方正仿宋_GBK" w:hAnsi="宋体" w:eastAsia="方正仿宋_GBK"/>
        </w:rPr>
        <w:t>安全文化创新基地建设工程</w:t>
      </w:r>
      <w:r>
        <w:tab/>
      </w:r>
      <w:r>
        <w:fldChar w:fldCharType="begin"/>
      </w:r>
      <w:r>
        <w:instrText xml:space="preserve"> PAGEREF _Toc87275378 \h </w:instrText>
      </w:r>
      <w:r>
        <w:fldChar w:fldCharType="separate"/>
      </w:r>
      <w:r>
        <w:t>39</w:t>
      </w:r>
      <w:r>
        <w:fldChar w:fldCharType="end"/>
      </w:r>
      <w:r>
        <w:fldChar w:fldCharType="end"/>
      </w:r>
    </w:p>
    <w:p w14:paraId="52F21186">
      <w:pPr>
        <w:pStyle w:val="32"/>
        <w:tabs>
          <w:tab w:val="right" w:leader="dot" w:pos="8290"/>
        </w:tabs>
        <w:spacing w:line="360" w:lineRule="exact"/>
        <w:rPr>
          <w:rFonts w:hAnsiTheme="minorHAnsi" w:eastAsiaTheme="minorEastAsia" w:cstheme="minorBidi"/>
          <w:smallCaps w:val="0"/>
          <w:sz w:val="21"/>
          <w:szCs w:val="22"/>
        </w:rPr>
      </w:pPr>
      <w:r>
        <w:fldChar w:fldCharType="begin"/>
      </w:r>
      <w:r>
        <w:instrText xml:space="preserve"> HYPERLINK \l "_Toc87275379" </w:instrText>
      </w:r>
      <w:r>
        <w:fldChar w:fldCharType="separate"/>
      </w:r>
      <w:r>
        <w:rPr>
          <w:rStyle w:val="42"/>
          <w:rFonts w:hint="eastAsia" w:ascii="方正楷体_GBK" w:eastAsia="方正楷体_GBK"/>
          <w:bCs/>
        </w:rPr>
        <w:t>（二）应急保障能力提升工程</w:t>
      </w:r>
      <w:r>
        <w:tab/>
      </w:r>
      <w:r>
        <w:fldChar w:fldCharType="begin"/>
      </w:r>
      <w:r>
        <w:instrText xml:space="preserve"> PAGEREF _Toc87275379 \h </w:instrText>
      </w:r>
      <w:r>
        <w:fldChar w:fldCharType="separate"/>
      </w:r>
      <w:r>
        <w:t>40</w:t>
      </w:r>
      <w:r>
        <w:fldChar w:fldCharType="end"/>
      </w:r>
      <w:r>
        <w:fldChar w:fldCharType="end"/>
      </w:r>
    </w:p>
    <w:p w14:paraId="7DD40366">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"_Toc87275380" </w:instrText>
      </w:r>
      <w:r>
        <w:fldChar w:fldCharType="separate"/>
      </w:r>
      <w:r>
        <w:rPr>
          <w:rStyle w:val="42"/>
          <w:rFonts w:ascii="方正仿宋_GBK" w:hAnsi="宋体" w:eastAsia="方正仿宋_GBK"/>
        </w:rPr>
        <w:t>1.</w:t>
      </w:r>
      <w:r>
        <w:rPr>
          <w:rStyle w:val="42"/>
          <w:rFonts w:hint="eastAsia" w:ascii="方正仿宋_GBK" w:hAnsi="宋体" w:eastAsia="方正仿宋_GBK"/>
        </w:rPr>
        <w:t>应急物资及装备保障能力提升工程</w:t>
      </w:r>
      <w:r>
        <w:tab/>
      </w:r>
      <w:r>
        <w:fldChar w:fldCharType="begin"/>
      </w:r>
      <w:r>
        <w:instrText xml:space="preserve"> PAGEREF _Toc87275380 \h </w:instrText>
      </w:r>
      <w:r>
        <w:fldChar w:fldCharType="separate"/>
      </w:r>
      <w:r>
        <w:t>40</w:t>
      </w:r>
      <w:r>
        <w:fldChar w:fldCharType="end"/>
      </w:r>
      <w:r>
        <w:fldChar w:fldCharType="end"/>
      </w:r>
    </w:p>
    <w:p w14:paraId="25F84EF5">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"_Toc87275381" </w:instrText>
      </w:r>
      <w:r>
        <w:fldChar w:fldCharType="separate"/>
      </w:r>
      <w:r>
        <w:rPr>
          <w:rStyle w:val="42"/>
          <w:rFonts w:ascii="方正仿宋_GBK" w:hAnsi="宋体" w:eastAsia="方正仿宋_GBK"/>
        </w:rPr>
        <w:t>2.</w:t>
      </w:r>
      <w:r>
        <w:rPr>
          <w:rStyle w:val="42"/>
          <w:rFonts w:hint="eastAsia" w:ascii="方正仿宋_GBK" w:hAnsi="宋体" w:eastAsia="方正仿宋_GBK"/>
        </w:rPr>
        <w:t>应急救援队伍保障能力提升工程</w:t>
      </w:r>
      <w:r>
        <w:tab/>
      </w:r>
      <w:r>
        <w:fldChar w:fldCharType="begin"/>
      </w:r>
      <w:r>
        <w:instrText xml:space="preserve"> PAGEREF _Toc87275381 \h </w:instrText>
      </w:r>
      <w:r>
        <w:fldChar w:fldCharType="separate"/>
      </w:r>
      <w:r>
        <w:t>40</w:t>
      </w:r>
      <w:r>
        <w:fldChar w:fldCharType="end"/>
      </w:r>
      <w:r>
        <w:fldChar w:fldCharType="end"/>
      </w:r>
    </w:p>
    <w:p w14:paraId="75B4CF34">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"_Toc87275382" </w:instrText>
      </w:r>
      <w:r>
        <w:fldChar w:fldCharType="separate"/>
      </w:r>
      <w:r>
        <w:rPr>
          <w:rStyle w:val="42"/>
          <w:rFonts w:ascii="方正仿宋_GBK" w:hAnsi="宋体" w:eastAsia="方正仿宋_GBK"/>
        </w:rPr>
        <w:t>3.</w:t>
      </w:r>
      <w:r>
        <w:rPr>
          <w:rStyle w:val="42"/>
          <w:rFonts w:hint="eastAsia" w:ascii="方正仿宋_GBK" w:hAnsi="宋体" w:eastAsia="方正仿宋_GBK"/>
        </w:rPr>
        <w:t>执法装备配备保障能力提升工程</w:t>
      </w:r>
      <w:r>
        <w:tab/>
      </w:r>
      <w:r>
        <w:fldChar w:fldCharType="begin"/>
      </w:r>
      <w:r>
        <w:instrText xml:space="preserve"> PAGEREF _Toc87275382 \h </w:instrText>
      </w:r>
      <w:r>
        <w:fldChar w:fldCharType="separate"/>
      </w:r>
      <w:r>
        <w:t>40</w:t>
      </w:r>
      <w:r>
        <w:fldChar w:fldCharType="end"/>
      </w:r>
      <w:r>
        <w:fldChar w:fldCharType="end"/>
      </w:r>
    </w:p>
    <w:p w14:paraId="4F0381D1">
      <w:pPr>
        <w:pStyle w:val="32"/>
        <w:tabs>
          <w:tab w:val="right" w:leader="dot" w:pos="8290"/>
        </w:tabs>
        <w:spacing w:line="360" w:lineRule="exact"/>
        <w:rPr>
          <w:rFonts w:hAnsiTheme="minorHAnsi" w:eastAsiaTheme="minorEastAsia" w:cstheme="minorBidi"/>
          <w:smallCaps w:val="0"/>
          <w:sz w:val="21"/>
          <w:szCs w:val="22"/>
        </w:rPr>
      </w:pPr>
      <w:r>
        <w:fldChar w:fldCharType="begin"/>
      </w:r>
      <w:r>
        <w:instrText xml:space="preserve"> HYPERLINK \l "_Toc87275383" </w:instrText>
      </w:r>
      <w:r>
        <w:fldChar w:fldCharType="separate"/>
      </w:r>
      <w:r>
        <w:rPr>
          <w:rStyle w:val="42"/>
          <w:rFonts w:hint="eastAsia" w:ascii="方正楷体_GBK" w:eastAsia="方正楷体_GBK"/>
          <w:bCs/>
        </w:rPr>
        <w:t>（三）指挥救援能力提升工程</w:t>
      </w:r>
      <w:r>
        <w:tab/>
      </w:r>
      <w:r>
        <w:fldChar w:fldCharType="begin"/>
      </w:r>
      <w:r>
        <w:instrText xml:space="preserve"> PAGEREF _Toc87275383 \h </w:instrText>
      </w:r>
      <w:r>
        <w:fldChar w:fldCharType="separate"/>
      </w:r>
      <w:r>
        <w:t>41</w:t>
      </w:r>
      <w:r>
        <w:fldChar w:fldCharType="end"/>
      </w:r>
      <w:r>
        <w:fldChar w:fldCharType="end"/>
      </w:r>
    </w:p>
    <w:p w14:paraId="35E1A261">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"_Toc87275384" </w:instrText>
      </w:r>
      <w:r>
        <w:fldChar w:fldCharType="separate"/>
      </w:r>
      <w:r>
        <w:rPr>
          <w:rStyle w:val="42"/>
          <w:rFonts w:ascii="方正仿宋_GBK" w:hAnsi="宋体" w:eastAsia="方正仿宋_GBK"/>
        </w:rPr>
        <w:t>1.</w:t>
      </w:r>
      <w:r>
        <w:rPr>
          <w:rStyle w:val="42"/>
          <w:rFonts w:hint="eastAsia" w:ascii="方正仿宋_GBK" w:hAnsi="宋体" w:eastAsia="方正仿宋_GBK"/>
        </w:rPr>
        <w:t>区级高标准应急指挥中心建设工程</w:t>
      </w:r>
      <w:r>
        <w:tab/>
      </w:r>
      <w:r>
        <w:fldChar w:fldCharType="begin"/>
      </w:r>
      <w:r>
        <w:instrText xml:space="preserve"> PAGEREF _Toc87275384 \h </w:instrText>
      </w:r>
      <w:r>
        <w:fldChar w:fldCharType="separate"/>
      </w:r>
      <w:r>
        <w:t>41</w:t>
      </w:r>
      <w:r>
        <w:fldChar w:fldCharType="end"/>
      </w:r>
      <w:r>
        <w:fldChar w:fldCharType="end"/>
      </w:r>
    </w:p>
    <w:p w14:paraId="765B0AC4">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"_Toc87275385" </w:instrText>
      </w:r>
      <w:r>
        <w:fldChar w:fldCharType="separate"/>
      </w:r>
      <w:r>
        <w:rPr>
          <w:rStyle w:val="42"/>
          <w:rFonts w:ascii="方正仿宋_GBK" w:eastAsia="方正仿宋_GBK"/>
        </w:rPr>
        <w:t>2.</w:t>
      </w:r>
      <w:r>
        <w:rPr>
          <w:rStyle w:val="42"/>
          <w:rFonts w:hint="eastAsia" w:ascii="方正仿宋_GBK" w:eastAsia="方正仿宋_GBK"/>
        </w:rPr>
        <w:t>基层完备的应急救援能力建设工程</w:t>
      </w:r>
      <w:r>
        <w:tab/>
      </w:r>
      <w:r>
        <w:fldChar w:fldCharType="begin"/>
      </w:r>
      <w:r>
        <w:instrText xml:space="preserve"> PAGEREF _Toc87275385 \h </w:instrText>
      </w:r>
      <w:r>
        <w:fldChar w:fldCharType="separate"/>
      </w:r>
      <w:r>
        <w:t>41</w:t>
      </w:r>
      <w:r>
        <w:fldChar w:fldCharType="end"/>
      </w:r>
      <w:r>
        <w:fldChar w:fldCharType="end"/>
      </w:r>
    </w:p>
    <w:p w14:paraId="29D314A9">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"_Toc87275386" </w:instrText>
      </w:r>
      <w:r>
        <w:fldChar w:fldCharType="separate"/>
      </w:r>
      <w:r>
        <w:rPr>
          <w:rStyle w:val="42"/>
          <w:rFonts w:ascii="方正仿宋_GBK" w:hAnsi="宋体" w:eastAsia="方正仿宋_GBK"/>
        </w:rPr>
        <w:t>3.</w:t>
      </w:r>
      <w:r>
        <w:rPr>
          <w:rStyle w:val="42"/>
          <w:rFonts w:hint="eastAsia" w:ascii="方正仿宋_GBK" w:hAnsi="宋体" w:eastAsia="方正仿宋_GBK"/>
        </w:rPr>
        <w:t>重特大突发事件应急运输能力提升工程</w:t>
      </w:r>
      <w:r>
        <w:tab/>
      </w:r>
      <w:r>
        <w:fldChar w:fldCharType="begin"/>
      </w:r>
      <w:r>
        <w:instrText xml:space="preserve"> PAGEREF _Toc87275386 \h </w:instrText>
      </w:r>
      <w:r>
        <w:fldChar w:fldCharType="separate"/>
      </w:r>
      <w:r>
        <w:t>41</w:t>
      </w:r>
      <w:r>
        <w:fldChar w:fldCharType="end"/>
      </w:r>
      <w:r>
        <w:fldChar w:fldCharType="end"/>
      </w:r>
    </w:p>
    <w:p w14:paraId="77E57C69">
      <w:pPr>
        <w:pStyle w:val="32"/>
        <w:tabs>
          <w:tab w:val="right" w:leader="dot" w:pos="8290"/>
        </w:tabs>
        <w:spacing w:line="360" w:lineRule="exact"/>
        <w:rPr>
          <w:rFonts w:hAnsiTheme="minorHAnsi" w:eastAsiaTheme="minorEastAsia" w:cstheme="minorBidi"/>
          <w:smallCaps w:val="0"/>
          <w:sz w:val="21"/>
          <w:szCs w:val="22"/>
        </w:rPr>
      </w:pPr>
      <w:r>
        <w:fldChar w:fldCharType="begin"/>
      </w:r>
      <w:r>
        <w:instrText xml:space="preserve"> HYPERLINK \l "_Toc87275387" </w:instrText>
      </w:r>
      <w:r>
        <w:fldChar w:fldCharType="separate"/>
      </w:r>
      <w:r>
        <w:rPr>
          <w:rStyle w:val="42"/>
          <w:rFonts w:hint="eastAsia" w:ascii="方正楷体_GBK" w:eastAsia="方正楷体_GBK"/>
          <w:bCs/>
        </w:rPr>
        <w:t>（四）智慧应急能力提升工程</w:t>
      </w:r>
      <w:r>
        <w:tab/>
      </w:r>
      <w:r>
        <w:fldChar w:fldCharType="begin"/>
      </w:r>
      <w:r>
        <w:instrText xml:space="preserve"> PAGEREF _Toc87275387 \h </w:instrText>
      </w:r>
      <w:r>
        <w:fldChar w:fldCharType="separate"/>
      </w:r>
      <w:r>
        <w:t>42</w:t>
      </w:r>
      <w:r>
        <w:fldChar w:fldCharType="end"/>
      </w:r>
      <w:r>
        <w:fldChar w:fldCharType="end"/>
      </w:r>
    </w:p>
    <w:p w14:paraId="17910BCA">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"_Toc87275388" </w:instrText>
      </w:r>
      <w:r>
        <w:fldChar w:fldCharType="separate"/>
      </w:r>
      <w:r>
        <w:rPr>
          <w:rStyle w:val="42"/>
          <w:rFonts w:ascii="方正仿宋_GBK" w:hAnsi="宋体" w:eastAsia="方正仿宋_GBK"/>
        </w:rPr>
        <w:t>1.</w:t>
      </w:r>
      <w:r>
        <w:rPr>
          <w:rStyle w:val="42"/>
          <w:rFonts w:hint="eastAsia" w:ascii="方正仿宋_GBK" w:hAnsi="宋体" w:eastAsia="方正仿宋_GBK"/>
        </w:rPr>
        <w:t>应急感知能力提升工程</w:t>
      </w:r>
      <w:r>
        <w:tab/>
      </w:r>
      <w:r>
        <w:fldChar w:fldCharType="begin"/>
      </w:r>
      <w:r>
        <w:instrText xml:space="preserve"> PAGEREF _Toc87275388 \h </w:instrText>
      </w:r>
      <w:r>
        <w:fldChar w:fldCharType="separate"/>
      </w:r>
      <w:r>
        <w:t>42</w:t>
      </w:r>
      <w:r>
        <w:fldChar w:fldCharType="end"/>
      </w:r>
      <w:r>
        <w:fldChar w:fldCharType="end"/>
      </w:r>
    </w:p>
    <w:p w14:paraId="6F44471D">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"_Toc87275389" </w:instrText>
      </w:r>
      <w:r>
        <w:fldChar w:fldCharType="separate"/>
      </w:r>
      <w:r>
        <w:rPr>
          <w:rStyle w:val="42"/>
          <w:rFonts w:ascii="方正仿宋_GBK" w:hAnsi="宋体" w:eastAsia="方正仿宋_GBK"/>
        </w:rPr>
        <w:t>2.</w:t>
      </w:r>
      <w:r>
        <w:rPr>
          <w:rStyle w:val="42"/>
          <w:rFonts w:hint="eastAsia" w:ascii="方正仿宋_GBK" w:hAnsi="宋体" w:eastAsia="方正仿宋_GBK"/>
        </w:rPr>
        <w:t>通信保障能力提升工程</w:t>
      </w:r>
      <w:r>
        <w:tab/>
      </w:r>
      <w:r>
        <w:fldChar w:fldCharType="begin"/>
      </w:r>
      <w:r>
        <w:instrText xml:space="preserve"> PAGEREF _Toc87275389 \h </w:instrText>
      </w:r>
      <w:r>
        <w:fldChar w:fldCharType="separate"/>
      </w:r>
      <w:r>
        <w:t>42</w:t>
      </w:r>
      <w:r>
        <w:fldChar w:fldCharType="end"/>
      </w:r>
      <w:r>
        <w:fldChar w:fldCharType="end"/>
      </w:r>
    </w:p>
    <w:p w14:paraId="461EEBEA">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"_Toc87275390" </w:instrText>
      </w:r>
      <w:r>
        <w:fldChar w:fldCharType="separate"/>
      </w:r>
      <w:r>
        <w:rPr>
          <w:rStyle w:val="42"/>
          <w:rFonts w:ascii="方正仿宋_GBK" w:hAnsi="宋体" w:eastAsia="方正仿宋_GBK"/>
        </w:rPr>
        <w:t>3.</w:t>
      </w:r>
      <w:r>
        <w:rPr>
          <w:rStyle w:val="42"/>
          <w:rFonts w:hint="eastAsia" w:ascii="方正仿宋_GBK" w:eastAsia="方正仿宋_GBK"/>
          <w:bCs/>
        </w:rPr>
        <w:t>应急管理数据支撑体系建设。</w:t>
      </w:r>
      <w:r>
        <w:tab/>
      </w:r>
      <w:r>
        <w:fldChar w:fldCharType="begin"/>
      </w:r>
      <w:r>
        <w:instrText xml:space="preserve"> PAGEREF _Toc87275390 \h </w:instrText>
      </w:r>
      <w:r>
        <w:fldChar w:fldCharType="separate"/>
      </w:r>
      <w:r>
        <w:t>43</w:t>
      </w:r>
      <w:r>
        <w:fldChar w:fldCharType="end"/>
      </w:r>
      <w:r>
        <w:fldChar w:fldCharType="end"/>
      </w:r>
    </w:p>
    <w:p w14:paraId="37FF8444">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"_Toc87275391" </w:instrText>
      </w:r>
      <w:r>
        <w:fldChar w:fldCharType="separate"/>
      </w:r>
      <w:r>
        <w:rPr>
          <w:rStyle w:val="42"/>
          <w:rFonts w:ascii="方正仿宋_GBK" w:eastAsia="方正仿宋_GBK"/>
        </w:rPr>
        <w:t>4.</w:t>
      </w:r>
      <w:r>
        <w:rPr>
          <w:rStyle w:val="42"/>
          <w:rFonts w:hint="eastAsia" w:ascii="方正仿宋_GBK" w:eastAsia="方正仿宋_GBK"/>
        </w:rPr>
        <w:t>应急指挥综合业务平台建设工程</w:t>
      </w:r>
      <w:r>
        <w:tab/>
      </w:r>
      <w:r>
        <w:fldChar w:fldCharType="begin"/>
      </w:r>
      <w:r>
        <w:instrText xml:space="preserve"> PAGEREF _Toc87275391 \h </w:instrText>
      </w:r>
      <w:r>
        <w:fldChar w:fldCharType="separate"/>
      </w:r>
      <w:r>
        <w:t>43</w:t>
      </w:r>
      <w:r>
        <w:fldChar w:fldCharType="end"/>
      </w:r>
      <w:r>
        <w:fldChar w:fldCharType="end"/>
      </w:r>
    </w:p>
    <w:p w14:paraId="64F0B350">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"_Toc87275392" </w:instrText>
      </w:r>
      <w:r>
        <w:fldChar w:fldCharType="separate"/>
      </w:r>
      <w:r>
        <w:rPr>
          <w:rStyle w:val="42"/>
          <w:rFonts w:ascii="方正仿宋_GBK" w:eastAsia="方正仿宋_GBK"/>
        </w:rPr>
        <w:t>5.</w:t>
      </w:r>
      <w:r>
        <w:rPr>
          <w:rStyle w:val="42"/>
          <w:rFonts w:hint="eastAsia" w:ascii="方正仿宋_GBK" w:eastAsia="方正仿宋_GBK"/>
        </w:rPr>
        <w:t>自然灾害综合风险监测预警系统建设工程</w:t>
      </w:r>
      <w:r>
        <w:tab/>
      </w:r>
      <w:r>
        <w:fldChar w:fldCharType="begin"/>
      </w:r>
      <w:r>
        <w:instrText xml:space="preserve"> PAGEREF _Toc87275392 \h </w:instrText>
      </w:r>
      <w:r>
        <w:fldChar w:fldCharType="separate"/>
      </w:r>
      <w:r>
        <w:t>43</w:t>
      </w:r>
      <w:r>
        <w:fldChar w:fldCharType="end"/>
      </w:r>
      <w:r>
        <w:fldChar w:fldCharType="end"/>
      </w:r>
    </w:p>
    <w:p w14:paraId="4863D6DE">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"_Toc87275393" </w:instrText>
      </w:r>
      <w:r>
        <w:fldChar w:fldCharType="separate"/>
      </w:r>
      <w:r>
        <w:rPr>
          <w:rStyle w:val="42"/>
          <w:rFonts w:ascii="方正仿宋_GBK" w:eastAsia="方正仿宋_GBK"/>
        </w:rPr>
        <w:t>6.</w:t>
      </w:r>
      <w:r>
        <w:rPr>
          <w:rStyle w:val="42"/>
          <w:rFonts w:hint="eastAsia" w:ascii="方正仿宋_GBK" w:eastAsia="方正仿宋_GBK"/>
        </w:rPr>
        <w:t>安全生产监测预警系统建设工程</w:t>
      </w:r>
      <w:r>
        <w:tab/>
      </w:r>
      <w:r>
        <w:fldChar w:fldCharType="begin"/>
      </w:r>
      <w:r>
        <w:instrText xml:space="preserve"> PAGEREF _Toc87275393 \h </w:instrText>
      </w:r>
      <w:r>
        <w:fldChar w:fldCharType="separate"/>
      </w:r>
      <w:r>
        <w:t>44</w:t>
      </w:r>
      <w:r>
        <w:fldChar w:fldCharType="end"/>
      </w:r>
      <w:r>
        <w:fldChar w:fldCharType="end"/>
      </w:r>
    </w:p>
    <w:p w14:paraId="2A7AAED9">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"_Toc87275394" </w:instrText>
      </w:r>
      <w:r>
        <w:fldChar w:fldCharType="separate"/>
      </w:r>
      <w:r>
        <w:rPr>
          <w:rStyle w:val="42"/>
          <w:rFonts w:ascii="方正仿宋_GBK" w:eastAsia="方正仿宋_GBK"/>
        </w:rPr>
        <w:t>7.</w:t>
      </w:r>
      <w:r>
        <w:rPr>
          <w:rStyle w:val="42"/>
          <w:rFonts w:hint="eastAsia" w:ascii="方正仿宋_GBK" w:eastAsia="方正仿宋_GBK"/>
        </w:rPr>
        <w:t>智能化应急决策支撑平台建设工程</w:t>
      </w:r>
      <w:r>
        <w:tab/>
      </w:r>
      <w:r>
        <w:fldChar w:fldCharType="begin"/>
      </w:r>
      <w:r>
        <w:instrText xml:space="preserve"> PAGEREF _Toc87275394 \h </w:instrText>
      </w:r>
      <w:r>
        <w:fldChar w:fldCharType="separate"/>
      </w:r>
      <w:r>
        <w:t>44</w:t>
      </w:r>
      <w:r>
        <w:fldChar w:fldCharType="end"/>
      </w:r>
      <w:r>
        <w:fldChar w:fldCharType="end"/>
      </w:r>
    </w:p>
    <w:p w14:paraId="62D18025">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"_Toc87275395" </w:instrText>
      </w:r>
      <w:r>
        <w:fldChar w:fldCharType="separate"/>
      </w:r>
      <w:r>
        <w:rPr>
          <w:rStyle w:val="42"/>
          <w:rFonts w:ascii="方正仿宋_GBK" w:eastAsia="方正仿宋_GBK"/>
        </w:rPr>
        <w:t>8.</w:t>
      </w:r>
      <w:r>
        <w:rPr>
          <w:rStyle w:val="42"/>
          <w:rFonts w:hint="eastAsia" w:ascii="方正仿宋_GBK" w:eastAsia="方正仿宋_GBK"/>
        </w:rPr>
        <w:t>一体化监管执法系统建设工程</w:t>
      </w:r>
      <w:r>
        <w:tab/>
      </w:r>
      <w:r>
        <w:fldChar w:fldCharType="begin"/>
      </w:r>
      <w:r>
        <w:instrText xml:space="preserve"> PAGEREF _Toc87275395 \h </w:instrText>
      </w:r>
      <w:r>
        <w:fldChar w:fldCharType="separate"/>
      </w:r>
      <w:r>
        <w:t>44</w:t>
      </w:r>
      <w:r>
        <w:fldChar w:fldCharType="end"/>
      </w:r>
      <w:r>
        <w:fldChar w:fldCharType="end"/>
      </w:r>
    </w:p>
    <w:p w14:paraId="70CF22C6">
      <w:pPr>
        <w:pStyle w:val="28"/>
        <w:spacing w:line="360" w:lineRule="exact"/>
        <w:rPr>
          <w:rFonts w:hAnsiTheme="minorHAnsi" w:eastAsiaTheme="minorEastAsia" w:cstheme="minorBidi"/>
          <w:b w:val="0"/>
          <w:bCs w:val="0"/>
          <w:caps w:val="0"/>
          <w:sz w:val="21"/>
          <w:szCs w:val="22"/>
        </w:rPr>
      </w:pPr>
      <w:r>
        <w:fldChar w:fldCharType="begin"/>
      </w:r>
      <w:r>
        <w:instrText xml:space="preserve"> HYPERLINK \l "_Toc87275396" </w:instrText>
      </w:r>
      <w:r>
        <w:fldChar w:fldCharType="separate"/>
      </w:r>
      <w:r>
        <w:rPr>
          <w:rStyle w:val="42"/>
          <w:rFonts w:hint="eastAsia" w:ascii="方正黑体_GBK" w:eastAsia="方正黑体_GBK"/>
          <w:kern w:val="44"/>
        </w:rPr>
        <w:t>六、保障措施</w:t>
      </w:r>
      <w:r>
        <w:tab/>
      </w:r>
      <w:r>
        <w:fldChar w:fldCharType="begin"/>
      </w:r>
      <w:r>
        <w:instrText xml:space="preserve"> PAGEREF _Toc87275396 \h </w:instrText>
      </w:r>
      <w:r>
        <w:fldChar w:fldCharType="separate"/>
      </w:r>
      <w:r>
        <w:t>44</w:t>
      </w:r>
      <w:r>
        <w:fldChar w:fldCharType="end"/>
      </w:r>
      <w:r>
        <w:fldChar w:fldCharType="end"/>
      </w:r>
    </w:p>
    <w:p w14:paraId="3EBB3F73">
      <w:pPr>
        <w:pStyle w:val="32"/>
        <w:tabs>
          <w:tab w:val="right" w:leader="dot" w:pos="8290"/>
        </w:tabs>
        <w:spacing w:line="360" w:lineRule="exact"/>
        <w:rPr>
          <w:rFonts w:hAnsiTheme="minorHAnsi" w:eastAsiaTheme="minorEastAsia" w:cstheme="minorBidi"/>
          <w:smallCaps w:val="0"/>
          <w:sz w:val="21"/>
          <w:szCs w:val="22"/>
        </w:rPr>
      </w:pPr>
      <w:r>
        <w:fldChar w:fldCharType="begin"/>
      </w:r>
      <w:r>
        <w:instrText xml:space="preserve"> HYPERLINK \l "_Toc87275397" </w:instrText>
      </w:r>
      <w:r>
        <w:fldChar w:fldCharType="separate"/>
      </w:r>
      <w:r>
        <w:rPr>
          <w:rStyle w:val="42"/>
          <w:rFonts w:hint="eastAsia" w:ascii="方正楷体_GBK" w:eastAsia="方正楷体_GBK"/>
          <w:bCs/>
        </w:rPr>
        <w:t>（一）加强领导组织</w:t>
      </w:r>
      <w:r>
        <w:tab/>
      </w:r>
      <w:r>
        <w:fldChar w:fldCharType="begin"/>
      </w:r>
      <w:r>
        <w:instrText xml:space="preserve"> PAGEREF _Toc87275397 \h </w:instrText>
      </w:r>
      <w:r>
        <w:fldChar w:fldCharType="separate"/>
      </w:r>
      <w:r>
        <w:t>44</w:t>
      </w:r>
      <w:r>
        <w:fldChar w:fldCharType="end"/>
      </w:r>
      <w:r>
        <w:fldChar w:fldCharType="end"/>
      </w:r>
    </w:p>
    <w:p w14:paraId="52F2E500">
      <w:pPr>
        <w:pStyle w:val="32"/>
        <w:tabs>
          <w:tab w:val="right" w:leader="dot" w:pos="8290"/>
        </w:tabs>
        <w:spacing w:line="360" w:lineRule="exact"/>
        <w:rPr>
          <w:rFonts w:hAnsiTheme="minorHAnsi" w:eastAsiaTheme="minorEastAsia" w:cstheme="minorBidi"/>
          <w:smallCaps w:val="0"/>
          <w:sz w:val="21"/>
          <w:szCs w:val="22"/>
        </w:rPr>
      </w:pPr>
      <w:r>
        <w:fldChar w:fldCharType="begin"/>
      </w:r>
      <w:r>
        <w:instrText xml:space="preserve"> HYPERLINK \l "_Toc87275398" </w:instrText>
      </w:r>
      <w:r>
        <w:fldChar w:fldCharType="separate"/>
      </w:r>
      <w:r>
        <w:rPr>
          <w:rStyle w:val="42"/>
          <w:rFonts w:hint="eastAsia" w:ascii="方正楷体_GBK" w:eastAsia="方正楷体_GBK"/>
          <w:bCs/>
        </w:rPr>
        <w:t>（二）加强机制保障</w:t>
      </w:r>
      <w:r>
        <w:tab/>
      </w:r>
      <w:r>
        <w:fldChar w:fldCharType="begin"/>
      </w:r>
      <w:r>
        <w:instrText xml:space="preserve"> PAGEREF _Toc87275398 \h </w:instrText>
      </w:r>
      <w:r>
        <w:fldChar w:fldCharType="separate"/>
      </w:r>
      <w:r>
        <w:t>45</w:t>
      </w:r>
      <w:r>
        <w:fldChar w:fldCharType="end"/>
      </w:r>
      <w:r>
        <w:fldChar w:fldCharType="end"/>
      </w:r>
    </w:p>
    <w:p w14:paraId="75C8B205">
      <w:pPr>
        <w:pStyle w:val="32"/>
        <w:tabs>
          <w:tab w:val="right" w:leader="dot" w:pos="8290"/>
        </w:tabs>
        <w:spacing w:line="360" w:lineRule="exact"/>
        <w:rPr>
          <w:rFonts w:hAnsiTheme="minorHAnsi" w:eastAsiaTheme="minorEastAsia" w:cstheme="minorBidi"/>
          <w:smallCaps w:val="0"/>
          <w:sz w:val="21"/>
          <w:szCs w:val="22"/>
        </w:rPr>
      </w:pPr>
      <w:r>
        <w:fldChar w:fldCharType="begin"/>
      </w:r>
      <w:r>
        <w:instrText xml:space="preserve"> HYPERLINK \l "_Toc87275399" </w:instrText>
      </w:r>
      <w:r>
        <w:fldChar w:fldCharType="separate"/>
      </w:r>
      <w:r>
        <w:rPr>
          <w:rStyle w:val="42"/>
          <w:rFonts w:hint="eastAsia" w:ascii="方正楷体_GBK" w:eastAsia="方正楷体_GBK"/>
          <w:bCs/>
        </w:rPr>
        <w:t>（三）多元科研汇集</w:t>
      </w:r>
      <w:r>
        <w:tab/>
      </w:r>
      <w:r>
        <w:fldChar w:fldCharType="begin"/>
      </w:r>
      <w:r>
        <w:instrText xml:space="preserve"> PAGEREF _Toc87275399 \h </w:instrText>
      </w:r>
      <w:r>
        <w:fldChar w:fldCharType="separate"/>
      </w:r>
      <w:r>
        <w:t>45</w:t>
      </w:r>
      <w:r>
        <w:fldChar w:fldCharType="end"/>
      </w:r>
      <w:r>
        <w:fldChar w:fldCharType="end"/>
      </w:r>
    </w:p>
    <w:p w14:paraId="3B7973C1">
      <w:pPr>
        <w:pStyle w:val="32"/>
        <w:tabs>
          <w:tab w:val="right" w:leader="dot" w:pos="8290"/>
        </w:tabs>
        <w:spacing w:line="360" w:lineRule="exact"/>
        <w:rPr>
          <w:rFonts w:hAnsiTheme="minorHAnsi" w:eastAsiaTheme="minorEastAsia" w:cstheme="minorBidi"/>
          <w:smallCaps w:val="0"/>
          <w:sz w:val="21"/>
          <w:szCs w:val="22"/>
        </w:rPr>
      </w:pPr>
      <w:r>
        <w:fldChar w:fldCharType="begin"/>
      </w:r>
      <w:r>
        <w:instrText xml:space="preserve"> HYPERLINK \l "_Toc87275400" </w:instrText>
      </w:r>
      <w:r>
        <w:fldChar w:fldCharType="separate"/>
      </w:r>
      <w:r>
        <w:rPr>
          <w:rStyle w:val="42"/>
          <w:rFonts w:hint="eastAsia" w:ascii="方正楷体_GBK" w:eastAsia="方正楷体_GBK"/>
          <w:bCs/>
        </w:rPr>
        <w:t>（四）加强经费保障</w:t>
      </w:r>
      <w:r>
        <w:tab/>
      </w:r>
      <w:r>
        <w:fldChar w:fldCharType="begin"/>
      </w:r>
      <w:r>
        <w:instrText xml:space="preserve"> PAGEREF _Toc87275400 \h </w:instrText>
      </w:r>
      <w:r>
        <w:fldChar w:fldCharType="separate"/>
      </w:r>
      <w:r>
        <w:t>46</w:t>
      </w:r>
      <w:r>
        <w:fldChar w:fldCharType="end"/>
      </w:r>
      <w:r>
        <w:fldChar w:fldCharType="end"/>
      </w:r>
    </w:p>
    <w:p w14:paraId="07D1A6F1">
      <w:pPr>
        <w:pStyle w:val="32"/>
        <w:tabs>
          <w:tab w:val="right" w:leader="dot" w:pos="8290"/>
        </w:tabs>
        <w:spacing w:line="360" w:lineRule="exact"/>
        <w:ind w:firstLine="640"/>
        <w:rPr>
          <w:rFonts w:hAnsiTheme="minorHAnsi" w:eastAsiaTheme="minorEastAsia" w:cstheme="minorBidi"/>
          <w:smallCaps w:val="0"/>
          <w:sz w:val="21"/>
          <w:szCs w:val="22"/>
        </w:rPr>
      </w:pPr>
    </w:p>
    <w:p w14:paraId="4262A66A">
      <w:pPr>
        <w:spacing w:line="360" w:lineRule="exact"/>
        <w:rPr>
          <w:rFonts w:ascii="方正仿宋_GBK" w:hAnsi="仿宋" w:eastAsia="方正仿宋_GBK"/>
          <w:sz w:val="24"/>
          <w:szCs w:val="24"/>
        </w:rPr>
      </w:pPr>
      <w:r>
        <w:rPr>
          <w:rFonts w:ascii="方正仿宋_GBK" w:hAnsi="仿宋" w:eastAsia="方正仿宋_GBK"/>
          <w:sz w:val="24"/>
          <w:szCs w:val="24"/>
        </w:rPr>
        <w:fldChar w:fldCharType="end"/>
      </w:r>
    </w:p>
    <w:p w14:paraId="037C2AF9">
      <w:pPr>
        <w:rPr>
          <w:rFonts w:ascii="方正仿宋_GBK" w:eastAsia="方正仿宋_GBK"/>
        </w:rPr>
        <w:sectPr>
          <w:footerReference r:id="rId3" w:type="default"/>
          <w:pgSz w:w="11900" w:h="16840"/>
          <w:pgMar w:top="1440" w:right="1800" w:bottom="1440" w:left="1800" w:header="851" w:footer="992" w:gutter="0"/>
          <w:pgNumType w:fmt="upperRoman" w:start="1"/>
          <w:cols w:space="425" w:num="1"/>
          <w:docGrid w:type="lines" w:linePitch="312" w:charSpace="0"/>
        </w:sectPr>
      </w:pPr>
    </w:p>
    <w:p w14:paraId="764077AF">
      <w:pPr>
        <w:spacing w:line="600" w:lineRule="exact"/>
        <w:jc w:val="center"/>
        <w:rPr>
          <w:rFonts w:ascii="方正小标宋_GBK" w:eastAsia="方正小标宋_GBK"/>
          <w:sz w:val="48"/>
          <w:szCs w:val="48"/>
        </w:rPr>
      </w:pPr>
      <w:r>
        <w:rPr>
          <w:rFonts w:hint="eastAsia" w:ascii="方正小标宋_GBK" w:eastAsia="方正小标宋_GBK"/>
          <w:sz w:val="48"/>
          <w:szCs w:val="48"/>
        </w:rPr>
        <w:t xml:space="preserve">  重庆两江新区</w:t>
      </w:r>
    </w:p>
    <w:p w14:paraId="305683A7">
      <w:pPr>
        <w:spacing w:line="600" w:lineRule="exact"/>
        <w:jc w:val="center"/>
        <w:rPr>
          <w:rFonts w:ascii="方正小标宋_GBK" w:eastAsia="方正小标宋_GBK"/>
          <w:sz w:val="48"/>
          <w:szCs w:val="48"/>
        </w:rPr>
      </w:pPr>
      <w:r>
        <w:rPr>
          <w:rFonts w:hint="eastAsia" w:ascii="方正小标宋_GBK" w:eastAsia="方正小标宋_GBK"/>
          <w:sz w:val="48"/>
          <w:szCs w:val="48"/>
        </w:rPr>
        <w:t>“十四五”应急管理专项规划</w:t>
      </w:r>
    </w:p>
    <w:p w14:paraId="0AF47E24">
      <w:pPr>
        <w:spacing w:line="600" w:lineRule="exact"/>
        <w:jc w:val="center"/>
        <w:rPr>
          <w:rFonts w:ascii="方正小标宋_GBK" w:eastAsia="方正小标宋_GBK"/>
          <w:sz w:val="48"/>
          <w:szCs w:val="48"/>
        </w:rPr>
      </w:pPr>
      <w:r>
        <w:rPr>
          <w:rFonts w:hint="eastAsia" w:ascii="方正楷体_GBK" w:eastAsia="方正楷体_GBK"/>
          <w:sz w:val="36"/>
          <w:szCs w:val="36"/>
        </w:rPr>
        <w:t xml:space="preserve">  （2021-2025年）</w:t>
      </w:r>
    </w:p>
    <w:p w14:paraId="4B8F8006">
      <w:pPr>
        <w:pStyle w:val="20"/>
        <w:spacing w:after="0" w:line="579" w:lineRule="exact"/>
        <w:ind w:firstLine="640" w:firstLineChars="200"/>
        <w:rPr>
          <w:rFonts w:ascii="方正仿宋_GBK" w:eastAsia="方正仿宋_GBK"/>
          <w:szCs w:val="32"/>
        </w:rPr>
      </w:pPr>
    </w:p>
    <w:p w14:paraId="7AF135C1">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十四五”（2021—2025年），是我国由全面建成小康社会向基本实现社会主义现代化迈进的关键时期，也是机构改革之后，全力构建应急能力体系和应急管理体制的关键时期。编制实施好应急管理“十四五”规划，描绘好未来发展蓝图，意义重大。按照《应急管理部关于做好“十四五”应急管理领域专项规划编制工作的通知》（应急函〔2019〕179号）、《关于组织开展全市“十四五”规划编制工作的通知》（渝发改规〔2019〕849号）以及《关于做好应急管理“十四五”规划编制工作的通知》（渝安办〔2019〕81号）要求，编制《重庆两江新区“十四五”应急管理专项规划》，指导我区未来五年应急管理事业健康发展。</w:t>
      </w:r>
    </w:p>
    <w:p w14:paraId="72D94285">
      <w:pPr>
        <w:pStyle w:val="2"/>
        <w:keepNext/>
        <w:keepLines/>
        <w:spacing w:before="0" w:line="579" w:lineRule="exact"/>
        <w:ind w:left="640" w:leftChars="200"/>
        <w:rPr>
          <w:rFonts w:ascii="方正黑体_GBK" w:hAnsi="Times New Roman" w:eastAsia="方正黑体_GBK"/>
          <w:b w:val="0"/>
          <w:bCs/>
          <w:kern w:val="44"/>
        </w:rPr>
      </w:pPr>
      <w:bookmarkStart w:id="0" w:name="_Toc75618144"/>
      <w:bookmarkStart w:id="1" w:name="_Toc87275307"/>
      <w:bookmarkStart w:id="2" w:name="_Toc9933919"/>
      <w:bookmarkStart w:id="3" w:name="_Toc12200208"/>
      <w:r>
        <w:rPr>
          <w:rFonts w:hint="eastAsia" w:ascii="方正黑体_GBK" w:hAnsi="Times New Roman" w:eastAsia="方正黑体_GBK"/>
          <w:b w:val="0"/>
          <w:bCs/>
          <w:kern w:val="44"/>
        </w:rPr>
        <w:t>一、“十三五”时期建设成效和不足</w:t>
      </w:r>
      <w:bookmarkEnd w:id="0"/>
      <w:bookmarkEnd w:id="1"/>
    </w:p>
    <w:p w14:paraId="5DD4410F">
      <w:pPr>
        <w:pStyle w:val="5"/>
        <w:keepNext/>
        <w:keepLines/>
        <w:spacing w:before="0" w:line="579" w:lineRule="exact"/>
        <w:ind w:firstLine="640" w:firstLineChars="200"/>
        <w:rPr>
          <w:rFonts w:ascii="方正楷体_GBK" w:hAnsi="Times New Roman" w:eastAsia="方正楷体_GBK"/>
          <w:b w:val="0"/>
          <w:bCs/>
          <w:sz w:val="32"/>
          <w:szCs w:val="32"/>
        </w:rPr>
      </w:pPr>
      <w:bookmarkStart w:id="4" w:name="_Toc75618145"/>
      <w:bookmarkStart w:id="5" w:name="_Toc87275308"/>
      <w:r>
        <w:rPr>
          <w:rFonts w:hint="eastAsia" w:ascii="方正楷体_GBK" w:hAnsi="Times New Roman" w:eastAsia="方正楷体_GBK"/>
          <w:b w:val="0"/>
          <w:bCs/>
          <w:sz w:val="32"/>
          <w:szCs w:val="32"/>
        </w:rPr>
        <w:t>（一）建设成效</w:t>
      </w:r>
      <w:bookmarkEnd w:id="4"/>
      <w:bookmarkEnd w:id="5"/>
    </w:p>
    <w:p w14:paraId="3B953DE9">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两江新区位于重庆主城都市区中心城区长江以北、嘉陵江以东，包括江北区、北碚区、渝北区</w:t>
      </w:r>
      <w:r>
        <w:rPr>
          <w:rFonts w:ascii="方正仿宋_GBK" w:eastAsia="方正仿宋_GBK"/>
          <w:szCs w:val="32"/>
        </w:rPr>
        <w:t>3个行政区部分区域，全域面积1200平方公里，常住人口270万人，其中直管区面积638平方公里，常住人口80万人。</w:t>
      </w:r>
      <w:r>
        <w:rPr>
          <w:rFonts w:hint="eastAsia" w:ascii="方正仿宋_GBK" w:eastAsia="方正仿宋_GBK"/>
          <w:szCs w:val="32"/>
        </w:rPr>
        <w:t>两江新区正加快打造内陆开放门户、建设重庆智慧之城，加快建设高质量发展引领区、高品质生活示范区，努力成为全面体现新发展理念和重庆发挥“三个作用”的先行示范区。</w:t>
      </w:r>
    </w:p>
    <w:p w14:paraId="38008226">
      <w:pPr>
        <w:pStyle w:val="20"/>
        <w:spacing w:after="0" w:line="579" w:lineRule="exact"/>
        <w:ind w:firstLine="640" w:firstLineChars="200"/>
        <w:rPr>
          <w:rFonts w:ascii="方正仿宋_GBK" w:eastAsia="方正仿宋_GBK"/>
          <w:b/>
          <w:bCs/>
          <w:szCs w:val="32"/>
        </w:rPr>
      </w:pPr>
      <w:r>
        <w:rPr>
          <w:rFonts w:hint="eastAsia" w:ascii="方正仿宋_GBK" w:eastAsia="方正仿宋_GBK"/>
          <w:b/>
          <w:bCs/>
          <w:szCs w:val="32"/>
        </w:rPr>
        <w:t>1.总体情况</w:t>
      </w:r>
    </w:p>
    <w:p w14:paraId="7D59EE61">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十三五”期间，在两江新区党工委、管委会的正确领导下，我区全面贯彻落实习近平总书记系列重要讲话，特别是视察重庆时的重要讲话精神，深入贯彻“五大发展理念”，紧紧围绕“一带一路”、长江经济带国家战略，基本实现国家对两江的“五大定位”。机构改革以来，按照应急管理部、重庆市统一部署，我区“党政同责、一岗双责”和“三个必须”责任制全面落实、安全生产监管体系更加完善、企业安全主体责任不断增强、安全生产基础不断夯实、社区安全整体水平得到有效提升，各项安全工作指标全面完成，安全生产形势稳定好转，全区应急管理工作总体取得重大突破。具体表现在：全区安全生产形势好转，事故控制稳定、三大指标稳步下降（亿元GDP生产安全事故死亡率稳定在0.04以内，工贸企业就业人员十万人生产安全事故死亡率稳定在1.6以内。道路交通万车死亡率稳定在1.5以内）。</w:t>
      </w:r>
    </w:p>
    <w:p w14:paraId="6D20C526">
      <w:pPr>
        <w:pStyle w:val="20"/>
        <w:spacing w:after="0" w:line="579" w:lineRule="exact"/>
        <w:ind w:firstLine="640" w:firstLineChars="200"/>
        <w:rPr>
          <w:rFonts w:ascii="方正仿宋_GBK" w:eastAsia="方正仿宋_GBK"/>
          <w:b/>
          <w:bCs/>
          <w:szCs w:val="32"/>
        </w:rPr>
      </w:pPr>
      <w:r>
        <w:rPr>
          <w:rFonts w:hint="eastAsia" w:ascii="方正仿宋_GBK" w:eastAsia="方正仿宋_GBK"/>
          <w:b/>
          <w:bCs/>
          <w:szCs w:val="32"/>
        </w:rPr>
        <w:t>2.应急管理体系建设基本形成</w:t>
      </w:r>
    </w:p>
    <w:p w14:paraId="4DEE4A4C">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十三五”期间，根据中央统一部署，重庆市对标对表扎实推进应急管理机构改革，按照我市应急管理体系建设统一领导、综合协调、分类管理、分级负责、属地管理为主的原则，在市、区县、街道、社区三级管理体制、四级工作网络基础上，我区全灾种、全过程、全方位的应急管理体系建设基本形成并发挥着重要作用。</w:t>
      </w:r>
    </w:p>
    <w:p w14:paraId="051A8D5C">
      <w:pPr>
        <w:pStyle w:val="20"/>
        <w:spacing w:after="0" w:line="579" w:lineRule="exact"/>
        <w:ind w:firstLine="640" w:firstLineChars="200"/>
        <w:rPr>
          <w:rFonts w:ascii="方正仿宋_GBK" w:eastAsia="方正仿宋_GBK"/>
          <w:b/>
          <w:bCs/>
          <w:szCs w:val="32"/>
        </w:rPr>
      </w:pPr>
      <w:r>
        <w:rPr>
          <w:rFonts w:hint="eastAsia" w:ascii="方正仿宋_GBK" w:eastAsia="方正仿宋_GBK"/>
          <w:b/>
          <w:bCs/>
          <w:szCs w:val="32"/>
        </w:rPr>
        <w:t>3.安全生产防控形势整体平稳可控</w:t>
      </w:r>
    </w:p>
    <w:p w14:paraId="386569C8">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十三五”期间，通过强化规划引领指导、完善源头风险管控、严格安全准入机制、建立事故“双防”机制，安全预防控制体系建设不断完善。具体表现在：（1）各直属企业、各街道、各部门始终坚持“关口前移”的原则，紧盯重点行业、重点企业、重点部位，认真摸排安全生产风险隐患，建立健全风险清单，制定落实管控措施，确保安全生产防治形势总体平稳可控。（2）按照“安全第一、预防为主、综合治理”的安全生产指导方针，安全生产标准化管理和安全生产企业宣教培训工作取得显著成效。（3）深化安全社区建设，社会安全文化氛围不断提升。</w:t>
      </w:r>
    </w:p>
    <w:p w14:paraId="29F999EE">
      <w:pPr>
        <w:pStyle w:val="20"/>
        <w:spacing w:after="0" w:line="579" w:lineRule="exact"/>
        <w:ind w:firstLine="640" w:firstLineChars="200"/>
        <w:rPr>
          <w:rFonts w:ascii="方正仿宋_GBK" w:eastAsia="方正仿宋_GBK"/>
          <w:b/>
          <w:bCs/>
          <w:szCs w:val="32"/>
        </w:rPr>
      </w:pPr>
      <w:r>
        <w:rPr>
          <w:rFonts w:hint="eastAsia" w:ascii="方正仿宋_GBK" w:eastAsia="方正仿宋_GBK"/>
          <w:b/>
          <w:bCs/>
          <w:szCs w:val="32"/>
        </w:rPr>
        <w:t>4.安全生产监管及执法能力明显提升</w:t>
      </w:r>
    </w:p>
    <w:p w14:paraId="170F9F8F">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“十三五”期间，</w:t>
      </w:r>
      <w:bookmarkStart w:id="6" w:name="_Toc281038371"/>
      <w:bookmarkStart w:id="7" w:name="_Toc364854237"/>
      <w:r>
        <w:rPr>
          <w:rFonts w:hint="eastAsia" w:ascii="方正仿宋_GBK" w:eastAsia="方正仿宋_GBK"/>
          <w:szCs w:val="32"/>
        </w:rPr>
        <w:t>通过强化党政领导责任、强化部门监管责任、落实企业主体责任、完善事故责任追究机制和安全监管执法机制、持续开展打非治违专项行动、健全行政执法信息公开机制、强化基层安全监管执法力量，安全生产监管及执法能力明显提升。具体表现在：（1）按照《安全监管职业能力建设标准》等规定，加强街道、直属企业、重点行业部门安全监管力量和技术装备设备建设，安全监管能力不断强化</w:t>
      </w:r>
      <w:bookmarkEnd w:id="6"/>
      <w:bookmarkEnd w:id="7"/>
      <w:r>
        <w:rPr>
          <w:rFonts w:hint="eastAsia" w:ascii="方正仿宋_GBK" w:eastAsia="方正仿宋_GBK"/>
          <w:szCs w:val="32"/>
        </w:rPr>
        <w:t>。（2）定期组织区安委会及减灾委成员单位安全监管干部开展培训工作，安全监管队伍素质显著提升。（3）开展综合安全监管和行业安全监管技术服务外包，安全监管技术支撑体系逐渐形成。（4）推进职业卫生宣传与教育、完善职业卫生管理防治措施、安全生产作业场所职业危害监管水平趋于完善。（5）推动企业安全管理创新、开展安全标准化和“回头看”活动、完善安全监督差异化管理，企业安全生产水平明显提升。</w:t>
      </w:r>
    </w:p>
    <w:p w14:paraId="178AE116">
      <w:pPr>
        <w:pStyle w:val="20"/>
        <w:spacing w:after="0" w:line="579" w:lineRule="exact"/>
        <w:ind w:firstLine="640" w:firstLineChars="200"/>
        <w:rPr>
          <w:rFonts w:ascii="方正仿宋_GBK" w:eastAsia="方正仿宋_GBK"/>
          <w:b/>
          <w:bCs/>
          <w:szCs w:val="32"/>
        </w:rPr>
      </w:pPr>
      <w:bookmarkStart w:id="8" w:name="_Toc468894032"/>
      <w:r>
        <w:rPr>
          <w:rFonts w:hint="eastAsia" w:ascii="方正仿宋_GBK" w:eastAsia="方正仿宋_GBK"/>
          <w:b/>
          <w:bCs/>
          <w:szCs w:val="32"/>
        </w:rPr>
        <w:t>5.安全生产基础保障能力不断改善</w:t>
      </w:r>
      <w:bookmarkEnd w:id="8"/>
      <w:bookmarkStart w:id="9" w:name="_Toc364854249"/>
    </w:p>
    <w:p w14:paraId="395CFD4F">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十三五”期间，通过道路交通、建设施工、消防安全、危险化学品、烟花爆竹、特种设备、市政设施、油气管道、工贸行业、职业卫生、水上交通、校园等行业领域安全基础设施工程建设，安全生产基础保障能力建设不断完善。具体表现在：（1）通过道路交通安全设施提升工程建设，道路行车安全智能设施、人行及隔离护栏等不断完善。（2）通过消防民生实事工程建设，开展市政消火栓规划建设及维护，实施老旧居住建筑和小区消防设施升级改造，完善消防安全重点单位建设“微型消防站”。（3）通过校园安全基础设施提升工程建设，强化校园消防安全设施建设、校车GPS安装及监控上线运行。（4）通过源头风险管控能力提升工程建设，建立城市安全风险分布图，实施安全风险分级管控。</w:t>
      </w:r>
      <w:bookmarkEnd w:id="9"/>
      <w:bookmarkStart w:id="10" w:name="_Toc425839741"/>
      <w:bookmarkStart w:id="11" w:name="_Toc468894033"/>
    </w:p>
    <w:p w14:paraId="5C7D6A40">
      <w:pPr>
        <w:pStyle w:val="20"/>
        <w:spacing w:after="0" w:line="579" w:lineRule="exact"/>
        <w:ind w:firstLine="640" w:firstLineChars="200"/>
        <w:rPr>
          <w:rFonts w:ascii="方正仿宋_GBK" w:eastAsia="方正仿宋_GBK"/>
          <w:b/>
          <w:bCs/>
          <w:szCs w:val="32"/>
        </w:rPr>
      </w:pPr>
      <w:r>
        <w:rPr>
          <w:rFonts w:hint="eastAsia" w:ascii="方正仿宋_GBK" w:eastAsia="方正仿宋_GBK"/>
          <w:b/>
          <w:bCs/>
          <w:szCs w:val="32"/>
        </w:rPr>
        <w:t>6.安全惠民</w:t>
      </w:r>
      <w:bookmarkEnd w:id="10"/>
      <w:r>
        <w:rPr>
          <w:rFonts w:hint="eastAsia" w:ascii="方正仿宋_GBK" w:eastAsia="方正仿宋_GBK"/>
          <w:b/>
          <w:bCs/>
          <w:szCs w:val="32"/>
        </w:rPr>
        <w:t>项目</w:t>
      </w:r>
      <w:bookmarkEnd w:id="11"/>
      <w:r>
        <w:rPr>
          <w:rFonts w:hint="eastAsia" w:ascii="方正仿宋_GBK" w:eastAsia="方正仿宋_GBK"/>
          <w:b/>
          <w:bCs/>
          <w:szCs w:val="32"/>
        </w:rPr>
        <w:t>建设全面铺开</w:t>
      </w:r>
    </w:p>
    <w:p w14:paraId="500D0CF3">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十三五”期间，通过积极开展各项安全惠民工程，安全惠民项目建设全面铺开。具体表现在：（1）通过安全社区工程建设，2020年新区8个街道全面建成国家安全社区。（2）通过小微企业安全“托管”助力工程建设，鼓励推广小微企业委托社会专业技术服务机构开展“托管”服务。（3）通过居民综合惠民保险工程建设，为常住人口购买居民火灾惠民保险。（4）通过建筑工人工伤保障工程建设，在建设领域全面实行工伤保险制度。</w:t>
      </w:r>
      <w:bookmarkStart w:id="12" w:name="_Toc468894034"/>
      <w:bookmarkStart w:id="13" w:name="_Toc276500742"/>
      <w:bookmarkStart w:id="14" w:name="_Toc364854241"/>
      <w:bookmarkStart w:id="15" w:name="_Toc425839739"/>
      <w:bookmarkStart w:id="16" w:name="_Toc281038375"/>
    </w:p>
    <w:p w14:paraId="26BCF9C5">
      <w:pPr>
        <w:pStyle w:val="20"/>
        <w:spacing w:after="0" w:line="579" w:lineRule="exact"/>
        <w:ind w:firstLine="640" w:firstLineChars="200"/>
        <w:rPr>
          <w:rFonts w:ascii="方正仿宋_GBK" w:eastAsia="方正仿宋_GBK"/>
          <w:b/>
          <w:bCs/>
          <w:szCs w:val="32"/>
        </w:rPr>
      </w:pPr>
      <w:r>
        <w:rPr>
          <w:rFonts w:hint="eastAsia" w:ascii="方正仿宋_GBK" w:eastAsia="方正仿宋_GBK"/>
          <w:b/>
          <w:bCs/>
          <w:szCs w:val="32"/>
        </w:rPr>
        <w:t>7.防灾减灾能力不断加强</w:t>
      </w:r>
    </w:p>
    <w:p w14:paraId="230FDFD2">
      <w:pPr>
        <w:pStyle w:val="20"/>
        <w:spacing w:after="0" w:line="579" w:lineRule="exact"/>
        <w:ind w:firstLine="640" w:firstLineChars="200"/>
        <w:rPr>
          <w:rFonts w:ascii="方正仿宋_GBK" w:eastAsia="方正仿宋_GBK"/>
          <w:color w:val="FF0000"/>
          <w:szCs w:val="32"/>
        </w:rPr>
      </w:pPr>
      <w:r>
        <w:rPr>
          <w:rFonts w:hint="eastAsia" w:ascii="方正仿宋_GBK" w:eastAsia="方正仿宋_GBK"/>
          <w:szCs w:val="32"/>
        </w:rPr>
        <w:t>“十三五”期间，根据《重庆市突发事件应对条例》，按照重庆市统一部署，通过各部门紧密配合，防灾减灾工作取得了显著成效。具体表现在：（1）各项防灾减灾规章制度及专项应急预案修订工作不断完善；灾情报送、预警发布机制体制不断健全；风险管理、物资储备、避难场所建设不断加强；社会动员、应急联动能力不断提升。（2）自然灾害监测预警体系建设不断完备，自然灾害防治基础设施工程建设不断夯实，自然灾害应急救助投入不断加强。（3）全面推进防灾减灾人才战略，防灾减灾专业队伍不断壮大，注重发挥专家学者在防灾减灾中的作用，加强对自然灾害发生、发展机理和演变规律的研究，灾害监测预警、风险评估、应急处置等技术水平不断提高。（4）防灾减灾宣传教育工作不断深入，以“国际减灾日”“全国防灾减灾日”为平台，利用多元传播手段，不断强化防灾减灾宣传进家庭、进校园、进社区、进企业，积极开展系列防灾减灾科普宣传教育活动。</w:t>
      </w:r>
    </w:p>
    <w:p w14:paraId="218F645E">
      <w:pPr>
        <w:pStyle w:val="20"/>
        <w:spacing w:after="0" w:line="579" w:lineRule="exact"/>
        <w:ind w:firstLine="640" w:firstLineChars="200"/>
        <w:rPr>
          <w:rFonts w:ascii="方正仿宋_GBK" w:eastAsia="方正仿宋_GBK"/>
          <w:b/>
          <w:bCs/>
          <w:szCs w:val="32"/>
        </w:rPr>
      </w:pPr>
      <w:r>
        <w:rPr>
          <w:rFonts w:hint="eastAsia" w:ascii="方正仿宋_GBK" w:eastAsia="方正仿宋_GBK"/>
          <w:b/>
          <w:bCs/>
          <w:szCs w:val="32"/>
        </w:rPr>
        <w:t>8.应急救援能力</w:t>
      </w:r>
      <w:bookmarkEnd w:id="12"/>
      <w:bookmarkEnd w:id="13"/>
      <w:bookmarkEnd w:id="14"/>
      <w:bookmarkEnd w:id="15"/>
      <w:bookmarkEnd w:id="16"/>
      <w:bookmarkStart w:id="17" w:name="_Toc281038376"/>
      <w:bookmarkStart w:id="18" w:name="_Toc276500743"/>
      <w:bookmarkStart w:id="19" w:name="_Toc364854242"/>
      <w:r>
        <w:rPr>
          <w:rFonts w:hint="eastAsia" w:ascii="方正仿宋_GBK" w:eastAsia="方正仿宋_GBK"/>
          <w:b/>
          <w:bCs/>
          <w:szCs w:val="32"/>
        </w:rPr>
        <w:t>得到有效提升</w:t>
      </w:r>
    </w:p>
    <w:p w14:paraId="3894AF61">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“十三五”期间，建设并完善应急救援指挥平台、提升应急预案实施能力、强化应急救援“三支队伍”。具体表现在：（1）通过应急救援指挥</w:t>
      </w:r>
      <w:bookmarkEnd w:id="17"/>
      <w:bookmarkEnd w:id="18"/>
      <w:r>
        <w:rPr>
          <w:rFonts w:hint="eastAsia" w:ascii="方正仿宋_GBK" w:eastAsia="方正仿宋_GBK"/>
          <w:szCs w:val="32"/>
        </w:rPr>
        <w:t>能力</w:t>
      </w:r>
      <w:bookmarkEnd w:id="19"/>
      <w:r>
        <w:rPr>
          <w:rFonts w:hint="eastAsia" w:ascii="方正仿宋_GBK" w:eastAsia="方正仿宋_GBK"/>
          <w:szCs w:val="32"/>
        </w:rPr>
        <w:t>建设，建成两江新区安全生产应急指挥平台，并实施联网运行。（2）通过消防应急处置能力建设，补充配置适应于区域内超高层建筑、大型地下建筑的大功率、高性能消防车辆及灭火装备。（3）通过水上应急救援中心建设，全面建成新区首个水上应急救援中心。（4）通过应急救援队伍建设工程，完善新区、街道两级综合应急救援队伍和消防、危险化学品等专业应急救援队伍，配置配齐必要的装备和物资。</w:t>
      </w:r>
    </w:p>
    <w:p w14:paraId="72F1EF6B">
      <w:pPr>
        <w:pStyle w:val="5"/>
        <w:keepNext/>
        <w:keepLines/>
        <w:spacing w:before="0" w:line="579" w:lineRule="exact"/>
        <w:ind w:firstLine="640" w:firstLineChars="200"/>
        <w:rPr>
          <w:rFonts w:ascii="方正楷体_GBK" w:hAnsi="Times New Roman" w:eastAsia="方正楷体_GBK"/>
          <w:b w:val="0"/>
          <w:bCs/>
          <w:sz w:val="32"/>
          <w:szCs w:val="32"/>
        </w:rPr>
      </w:pPr>
      <w:bookmarkStart w:id="20" w:name="_Toc87275309"/>
      <w:bookmarkStart w:id="21" w:name="_Toc75618146"/>
      <w:r>
        <w:rPr>
          <w:rFonts w:hint="eastAsia" w:ascii="方正楷体_GBK" w:hAnsi="Times New Roman" w:eastAsia="方正楷体_GBK"/>
          <w:b w:val="0"/>
          <w:bCs/>
          <w:sz w:val="32"/>
          <w:szCs w:val="32"/>
        </w:rPr>
        <w:t>（二）主要不足</w:t>
      </w:r>
      <w:bookmarkEnd w:id="20"/>
      <w:bookmarkEnd w:id="21"/>
    </w:p>
    <w:p w14:paraId="038AC6E2">
      <w:pPr>
        <w:pStyle w:val="20"/>
        <w:spacing w:after="0" w:line="579" w:lineRule="exact"/>
        <w:ind w:firstLine="640" w:firstLineChars="200"/>
        <w:rPr>
          <w:rFonts w:ascii="方正仿宋_GBK" w:eastAsia="方正仿宋_GBK"/>
          <w:b/>
          <w:bCs/>
          <w:szCs w:val="32"/>
        </w:rPr>
      </w:pPr>
      <w:r>
        <w:rPr>
          <w:rFonts w:hint="eastAsia" w:ascii="方正仿宋_GBK" w:eastAsia="方正仿宋_GBK"/>
          <w:b/>
          <w:bCs/>
          <w:szCs w:val="32"/>
        </w:rPr>
        <w:t>1.应急协同联动指挥体系尚未健全</w:t>
      </w:r>
    </w:p>
    <w:p w14:paraId="42EBFBDB">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目前新区应急救援协同联动机制尚未正式建立，安全监管主体责任落实有待进一步细化，应急管理部门跟各安全监管部门之间尚未形成统一有效的信息报送机制，信息流转不畅，横向到边、纵向到底的应急管理体系尚不健全，发生事故时，无法实现统一指挥和协同作战。</w:t>
      </w:r>
    </w:p>
    <w:p w14:paraId="1926AB56">
      <w:pPr>
        <w:pStyle w:val="20"/>
        <w:spacing w:after="0" w:line="579" w:lineRule="exact"/>
        <w:ind w:firstLine="640" w:firstLineChars="200"/>
        <w:rPr>
          <w:rFonts w:ascii="方正仿宋_GBK" w:eastAsia="方正仿宋_GBK"/>
          <w:b/>
          <w:bCs/>
          <w:szCs w:val="32"/>
        </w:rPr>
      </w:pPr>
      <w:r>
        <w:rPr>
          <w:rFonts w:hint="eastAsia" w:ascii="方正仿宋_GBK" w:eastAsia="方正仿宋_GBK"/>
          <w:b/>
          <w:bCs/>
          <w:szCs w:val="32"/>
        </w:rPr>
        <w:t>2.安全生产风险隐患依然存在</w:t>
      </w:r>
    </w:p>
    <w:p w14:paraId="59302B33">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基层群租房内普遍存在脏乱差现象，乱拉电线、乱装电器、用电超负荷、缺少消防设施、堵塞消防通道等，极易引发火灾、煤气中毒、触电伤亡等事故。物流企业、建筑及家装等行业监管难度大，一旦出现亡人事故，善后协调处置十分困难。部分安全生产企业安全保障措施不到位，安全主管人员意识薄弱，安全生产主体责任有待进一步细化。安全生产隐患排查力度有待进一步提升。</w:t>
      </w:r>
    </w:p>
    <w:p w14:paraId="4A1381CD">
      <w:pPr>
        <w:pStyle w:val="20"/>
        <w:spacing w:after="0" w:line="579" w:lineRule="exact"/>
        <w:ind w:firstLine="640" w:firstLineChars="200"/>
        <w:rPr>
          <w:rFonts w:ascii="方正仿宋_GBK" w:eastAsia="方正仿宋_GBK"/>
          <w:b/>
          <w:bCs/>
          <w:szCs w:val="32"/>
        </w:rPr>
      </w:pPr>
      <w:r>
        <w:rPr>
          <w:rFonts w:hint="eastAsia" w:ascii="方正仿宋_GBK" w:eastAsia="方正仿宋_GBK"/>
          <w:b/>
          <w:bCs/>
          <w:szCs w:val="32"/>
        </w:rPr>
        <w:t>3.自然灾害防控能力基础薄弱</w:t>
      </w:r>
    </w:p>
    <w:p w14:paraId="3702D940">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我区自然灾害形式多样，气象灾害、城市内涝、山洪灾害、地质灾害、地震灾害、森林火灾防治任务繁重，防灾减灾基础依然薄弱，尤其是基层（街道）防灾减灾能力弱、监测预警、工程防御、应急装备等综合防灾减灾能力建设存在短板，现有监测预警及救灾救援技术手段相对落后，重救灾、轻防灾减灾的倾向仍然不同程度存在，防灾减灾领域科学研究和技术保障能力不足，跨学科领域的综合研究欠缺，科技投入的系统性、持续性仍需加强，现代化专业监测预警技术应用有待提升，防灾减灾专业应急救援队伍结构需要优化，资源（含信息资源）共享程度不高。</w:t>
      </w:r>
    </w:p>
    <w:p w14:paraId="430E91A2">
      <w:pPr>
        <w:pStyle w:val="20"/>
        <w:spacing w:after="0" w:line="579" w:lineRule="exact"/>
        <w:ind w:firstLine="640" w:firstLineChars="200"/>
        <w:rPr>
          <w:rFonts w:ascii="方正仿宋_GBK" w:eastAsia="方正仿宋_GBK"/>
          <w:b/>
          <w:bCs/>
          <w:szCs w:val="32"/>
        </w:rPr>
      </w:pPr>
      <w:r>
        <w:rPr>
          <w:rFonts w:hint="eastAsia" w:ascii="方正仿宋_GBK" w:eastAsia="方正仿宋_GBK"/>
          <w:b/>
          <w:bCs/>
          <w:szCs w:val="32"/>
        </w:rPr>
        <w:t>4.应急救援专业队伍能力建设不足</w:t>
      </w:r>
    </w:p>
    <w:p w14:paraId="20C58E85">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我区尚未完全建成专常兼备的应急救援队伍，不足以满足当前日益复杂的突发事件应急救援需求。此外，部分行业安全监管部门和基层（街道）的安全监管力量缺乏，人员多身兼数职且工作任务繁重，流动性较大，缺乏学习培训，专业性水平不高，对安全生产、防灾减灾重要性的认识不足，日常监管和应急救援装备设备配备不齐全。</w:t>
      </w:r>
    </w:p>
    <w:p w14:paraId="138E18E5">
      <w:pPr>
        <w:pStyle w:val="20"/>
        <w:spacing w:after="0" w:line="579" w:lineRule="exact"/>
        <w:ind w:firstLine="640" w:firstLineChars="200"/>
        <w:rPr>
          <w:rFonts w:ascii="方正仿宋_GBK" w:eastAsia="方正仿宋_GBK"/>
          <w:b/>
          <w:bCs/>
          <w:szCs w:val="32"/>
        </w:rPr>
      </w:pPr>
      <w:r>
        <w:rPr>
          <w:rFonts w:hint="eastAsia" w:ascii="方正仿宋_GBK" w:eastAsia="方正仿宋_GBK"/>
          <w:b/>
          <w:bCs/>
          <w:szCs w:val="32"/>
        </w:rPr>
        <w:t>5.应急管理智能化信息系统应用程度不高</w:t>
      </w:r>
    </w:p>
    <w:p w14:paraId="4228DF41">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应急管理部门现阶段尚未建立完整的应急管理信息化平台，仍然采用短信、微信、电话等非常传统的方式进行日常管理和指挥调度，给日常应急管理工作带来很大阻力且效率低下，面对突发事件也无法快速组织形成有效救援力量和协同联动方案，同时也缺乏快速掌握灾情信息的渠道。</w:t>
      </w:r>
    </w:p>
    <w:p w14:paraId="470EA58A">
      <w:pPr>
        <w:pStyle w:val="20"/>
        <w:spacing w:after="0" w:line="579" w:lineRule="exact"/>
        <w:ind w:firstLine="640" w:firstLineChars="200"/>
        <w:rPr>
          <w:rFonts w:ascii="方正仿宋_GBK" w:eastAsia="方正仿宋_GBK"/>
          <w:b/>
          <w:bCs/>
          <w:szCs w:val="32"/>
        </w:rPr>
      </w:pPr>
      <w:r>
        <w:rPr>
          <w:rFonts w:hint="eastAsia" w:ascii="方正仿宋_GBK" w:eastAsia="方正仿宋_GBK"/>
          <w:b/>
          <w:bCs/>
          <w:szCs w:val="32"/>
        </w:rPr>
        <w:t>6.多灾种分析研判能力不足</w:t>
      </w:r>
    </w:p>
    <w:p w14:paraId="3E6E47EA">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新时代应急管理面对的重大安全风险是高度复杂、高度不确定的系统性风险，现有系统多面向单一灾种的监测预警，分析研判智能化程度低，对多灾种及灾害链的分析研判能力不足，无法有效防范各类风险连锁联动。</w:t>
      </w:r>
    </w:p>
    <w:p w14:paraId="272F420A">
      <w:pPr>
        <w:pStyle w:val="20"/>
        <w:spacing w:after="0" w:line="579" w:lineRule="exact"/>
        <w:ind w:firstLine="640" w:firstLineChars="200"/>
        <w:rPr>
          <w:rFonts w:ascii="方正仿宋_GBK" w:eastAsia="方正仿宋_GBK"/>
          <w:b/>
          <w:bCs/>
          <w:szCs w:val="32"/>
        </w:rPr>
      </w:pPr>
      <w:r>
        <w:rPr>
          <w:rFonts w:hint="eastAsia" w:ascii="方正仿宋_GBK" w:eastAsia="方正仿宋_GBK"/>
          <w:b/>
          <w:bCs/>
          <w:szCs w:val="32"/>
        </w:rPr>
        <w:t>7.应急通信水平亟需升级</w:t>
      </w:r>
    </w:p>
    <w:p w14:paraId="37410421">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现有应急通信系统存在技术和体制落后、通信手段单一等问题，应急通信联动协作能力较差，特别在汛期发生泥石流、滑坡、地震等各类灾情时无法保障有效及时的应急通信，给抢险救灾行动带来巨大的阻力。</w:t>
      </w:r>
    </w:p>
    <w:p w14:paraId="13FA3644">
      <w:pPr>
        <w:pStyle w:val="20"/>
        <w:spacing w:after="0" w:line="579" w:lineRule="exact"/>
        <w:ind w:firstLine="640" w:firstLineChars="200"/>
        <w:rPr>
          <w:rFonts w:ascii="方正仿宋_GBK" w:eastAsia="方正仿宋_GBK"/>
          <w:b/>
          <w:bCs/>
          <w:szCs w:val="32"/>
        </w:rPr>
      </w:pPr>
      <w:r>
        <w:rPr>
          <w:rFonts w:hint="eastAsia" w:ascii="方正仿宋_GBK" w:eastAsia="方正仿宋_GBK"/>
          <w:b/>
          <w:bCs/>
          <w:szCs w:val="32"/>
        </w:rPr>
        <w:t>8.资金保障有待进一步加强</w:t>
      </w:r>
    </w:p>
    <w:p w14:paraId="4A83A76C">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应急管理信息化建设时间久、投入大、收益周期长，需要较多且持续性的资金投入。我区应急管理信息化建设项目和资金保障不足，基本只能满足日常运行维护开支，急需资金投入及保障。</w:t>
      </w:r>
    </w:p>
    <w:p w14:paraId="21EAA38A">
      <w:pPr>
        <w:pStyle w:val="2"/>
        <w:keepNext/>
        <w:keepLines/>
        <w:spacing w:before="0" w:line="579" w:lineRule="exact"/>
        <w:ind w:left="640" w:leftChars="200"/>
        <w:rPr>
          <w:rFonts w:ascii="方正黑体_GBK" w:hAnsi="Times New Roman" w:eastAsia="方正黑体_GBK"/>
          <w:b w:val="0"/>
          <w:bCs/>
          <w:kern w:val="44"/>
        </w:rPr>
      </w:pPr>
      <w:bookmarkStart w:id="22" w:name="_Toc87275310"/>
      <w:bookmarkStart w:id="23" w:name="_Toc75618147"/>
      <w:r>
        <w:rPr>
          <w:rFonts w:hint="eastAsia" w:ascii="方正黑体_GBK" w:hAnsi="Times New Roman" w:eastAsia="方正黑体_GBK"/>
          <w:b w:val="0"/>
          <w:bCs/>
          <w:kern w:val="44"/>
        </w:rPr>
        <w:t>二、“十四五”时期面临的机遇和挑战</w:t>
      </w:r>
      <w:bookmarkEnd w:id="22"/>
      <w:bookmarkEnd w:id="23"/>
    </w:p>
    <w:p w14:paraId="0B7B8776">
      <w:pPr>
        <w:pStyle w:val="5"/>
        <w:keepNext/>
        <w:keepLines/>
        <w:spacing w:before="0" w:line="579" w:lineRule="exact"/>
        <w:ind w:firstLine="640" w:firstLineChars="200"/>
        <w:rPr>
          <w:rFonts w:ascii="方正楷体_GBK" w:hAnsi="Times New Roman" w:eastAsia="方正楷体_GBK"/>
          <w:b w:val="0"/>
          <w:bCs/>
          <w:sz w:val="32"/>
          <w:szCs w:val="32"/>
        </w:rPr>
      </w:pPr>
      <w:bookmarkStart w:id="24" w:name="_Toc87275311"/>
      <w:bookmarkStart w:id="25" w:name="_Toc75618148"/>
      <w:r>
        <w:rPr>
          <w:rFonts w:hint="eastAsia" w:ascii="方正楷体_GBK" w:hAnsi="Times New Roman" w:eastAsia="方正楷体_GBK"/>
          <w:b w:val="0"/>
          <w:bCs/>
          <w:sz w:val="32"/>
          <w:szCs w:val="32"/>
        </w:rPr>
        <w:t>（一）面临的机遇</w:t>
      </w:r>
      <w:bookmarkEnd w:id="24"/>
      <w:bookmarkEnd w:id="25"/>
    </w:p>
    <w:p w14:paraId="30A6BCBB">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“十四五”时期，安全生产、防灾减灾、应急救援工作面临许多有利条件和发展机遇。</w:t>
      </w:r>
    </w:p>
    <w:p w14:paraId="0BE21B0F">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1.党中央、国务院高度重视安全生产、防灾减灾、应急救援工作，并作出了一系列重大决策部署，深入推进安全生产领域改革发展，为安全生产、防灾减灾、应急救援工作提供了强大政策支持。我市加强领导、强化监管，狠抓责任落实，为安全生产、防灾减灾、应急救援工作提供了有力的组织保障。</w:t>
      </w:r>
    </w:p>
    <w:p w14:paraId="7317A7CE">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2.西部大开发和成渝地区双城经济圈战略深入实施，为打造“开放两江、内陆门户”增添了强大动能。国家数字经济创新发展试验区和新一代人工智能创新发展“双核心区”加速起航，为打造“数字两江、智慧之城”带来历史契机。“一城多园”西部科学城“首园”位置凸显，为打造“智造两江、产业高地”形成核心科技支撑。“双循环”发展格局加快构建，为打造“消费两江、时尚都市”提供强劲市场拉动。</w:t>
      </w:r>
    </w:p>
    <w:p w14:paraId="4E1CB15E">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3.随着社会治理能力不断提高，社会文明素质、安全意识和法治观念加快提升，安全发展的社会环境进一步优化。同时人民群众日益增长的安全需求，以及全社会对安全的高度关注，为推动安全生产、防灾减灾、应急救援工作提供了巨大动能。</w:t>
      </w:r>
    </w:p>
    <w:p w14:paraId="06BE63E3">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4.经济社会发展提质增效、产业结构优化升级、科技创新快速发展，将加快淘汰落后工艺、技术、装备和产能，自然灾害预警能力提升，“科技强安”战略有利于降低安全风险，提高本质安全水平。</w:t>
      </w:r>
    </w:p>
    <w:p w14:paraId="6ED48C33">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5.机构改革后，我区应急管理局挂牌成立，在新区党工委管委会的统一领导和市应急管理局的指导下，积极适应新体制新要求，以创新的思路、改革的办法和有力的举措奋力破解难题，努力逐步厘清应急管理横向及纵向各职能部门之间的关系，实现了新时代应急管理工作的良好开局，下一步将逐步构建防灾、减灾、救灾、指挥、救援、监管、执法、保障等职能分工清晰、互为衔接的“大应急”管理格局。</w:t>
      </w:r>
    </w:p>
    <w:p w14:paraId="55DCC614">
      <w:pPr>
        <w:pStyle w:val="5"/>
        <w:keepNext/>
        <w:keepLines/>
        <w:spacing w:before="0" w:line="579" w:lineRule="exact"/>
        <w:ind w:firstLine="640" w:firstLineChars="200"/>
        <w:rPr>
          <w:rFonts w:ascii="方正楷体_GBK" w:hAnsi="Times New Roman" w:eastAsia="方正楷体_GBK"/>
          <w:b w:val="0"/>
          <w:bCs/>
          <w:sz w:val="32"/>
          <w:szCs w:val="32"/>
        </w:rPr>
      </w:pPr>
      <w:bookmarkStart w:id="26" w:name="_Toc87275312"/>
      <w:bookmarkStart w:id="27" w:name="_Toc75618149"/>
      <w:r>
        <w:rPr>
          <w:rFonts w:hint="eastAsia" w:ascii="方正楷体_GBK" w:hAnsi="Times New Roman" w:eastAsia="方正楷体_GBK"/>
          <w:b w:val="0"/>
          <w:bCs/>
          <w:sz w:val="32"/>
          <w:szCs w:val="32"/>
        </w:rPr>
        <w:t>（二）面临的挑战</w:t>
      </w:r>
      <w:bookmarkEnd w:id="26"/>
      <w:bookmarkEnd w:id="27"/>
    </w:p>
    <w:p w14:paraId="23BD859C">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1.全区面积较广，工商贸、危化、消防、建设施工、市政设施、道路交通、水上交通、水利、森林、地质灾害、特种设备等行业领域的包括火灾、爆炸、中毒、窒息、坍塌、滑坡以及高处坠落、机械伤害等在内的安全风险隐患种类较多，总量较大，安全生产与自然灾害防治工作依然严峻。</w:t>
      </w:r>
    </w:p>
    <w:p w14:paraId="762E6A4D">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2.我区企业较多，人员密集场所多，道路交通压力大，安全生产、防灾减灾、应急救援基础薄弱。受生产力发展水平、企业本质安全程度、从业人员素质、政府监管体制与机制、自然灾害预警和应急救援能力、社会安全生产意识等多种因素的影响和制约，我区安全生产、防灾减灾、应急救援工作仍存在一定的不足。</w:t>
      </w:r>
    </w:p>
    <w:p w14:paraId="7EDD5EC8">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3.安全生产主体责任落实有待进一步细化。经济下行造成企业安全保障条件欠缺，特别是中小企业在追求效益最大化中，安全生产主体责任落实得不够，安全基础工作不扎实、管理不到位，联合监管和执法体系建设不彻底。</w:t>
      </w:r>
    </w:p>
    <w:p w14:paraId="142CCF0D">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4.防灾减灾体制机制不够完善，自然灾害防御能力有待进一步提升，救灾救助综合协调机制需进一步完善，信息化智能支撑、专业人才保障以及防灾减灾文化宣教需加强。</w:t>
      </w:r>
    </w:p>
    <w:p w14:paraId="4D17BCA4">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5.应急管理智能化水平亟需提升，迫切需要运用云计算、大数据、物联网、区块链、人工智能、5G等新技术，提升我区应急管理现代化能力建设。</w:t>
      </w:r>
    </w:p>
    <w:p w14:paraId="0F73725B">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6.随着经济社会发展，城市规模日益扩大，结构日趋复杂，城市建设、轨道交通、燃气管道、排水管网、公租房和安置房、电梯等特种设备安全风险突出，城市安全管理难度增大。自然灾害、事故灾难、公共卫生事件、社会安全事件等突发事件也日益增多，使得我区在“十四五”期间城市公共安全面临愈加严峻的挑战。</w:t>
      </w:r>
    </w:p>
    <w:p w14:paraId="4B87E84F">
      <w:pPr>
        <w:pStyle w:val="2"/>
        <w:keepNext/>
        <w:keepLines/>
        <w:spacing w:before="0" w:line="579" w:lineRule="exact"/>
        <w:ind w:left="640" w:leftChars="200"/>
        <w:rPr>
          <w:rFonts w:ascii="方正黑体_GBK" w:hAnsi="Times New Roman" w:eastAsia="方正黑体_GBK"/>
          <w:b w:val="0"/>
          <w:bCs/>
          <w:kern w:val="44"/>
        </w:rPr>
      </w:pPr>
      <w:bookmarkStart w:id="28" w:name="_Toc87275313"/>
      <w:bookmarkStart w:id="29" w:name="_Toc75618150"/>
      <w:r>
        <w:rPr>
          <w:rFonts w:hint="eastAsia" w:ascii="方正黑体_GBK" w:hAnsi="Times New Roman" w:eastAsia="方正黑体_GBK"/>
          <w:b w:val="0"/>
          <w:bCs/>
          <w:kern w:val="44"/>
        </w:rPr>
        <w:t>三、指导思想、基本原则和发展目标</w:t>
      </w:r>
      <w:bookmarkEnd w:id="28"/>
      <w:bookmarkEnd w:id="29"/>
    </w:p>
    <w:p w14:paraId="50FFB5C1">
      <w:pPr>
        <w:pStyle w:val="5"/>
        <w:keepNext/>
        <w:keepLines/>
        <w:spacing w:before="0" w:line="579" w:lineRule="exact"/>
        <w:ind w:firstLine="640" w:firstLineChars="200"/>
        <w:rPr>
          <w:rFonts w:ascii="方正楷体_GBK" w:hAnsi="Times New Roman" w:eastAsia="方正楷体_GBK"/>
          <w:b w:val="0"/>
          <w:bCs/>
          <w:sz w:val="32"/>
          <w:szCs w:val="32"/>
        </w:rPr>
      </w:pPr>
      <w:bookmarkStart w:id="30" w:name="_Toc12200218"/>
      <w:bookmarkStart w:id="31" w:name="_Toc75618151"/>
      <w:bookmarkStart w:id="32" w:name="_Toc87275314"/>
      <w:bookmarkStart w:id="33" w:name="_Toc9933927"/>
      <w:r>
        <w:rPr>
          <w:rFonts w:hint="eastAsia" w:ascii="方正楷体_GBK" w:hAnsi="Times New Roman" w:eastAsia="方正楷体_GBK"/>
          <w:b w:val="0"/>
          <w:bCs/>
          <w:sz w:val="32"/>
          <w:szCs w:val="32"/>
        </w:rPr>
        <w:t>（一）指导思想</w:t>
      </w:r>
      <w:bookmarkEnd w:id="30"/>
      <w:bookmarkEnd w:id="31"/>
      <w:bookmarkEnd w:id="32"/>
      <w:bookmarkEnd w:id="33"/>
    </w:p>
    <w:p w14:paraId="64003730">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高举中国特色社会主义伟大旗帜，坚持以习近平新时代中国特色社会主义思想为指导，全面贯彻党的十九大和十九届二中、三中、四中、五中、六中全会精神，坚持人民至上、生命至上，全面贯彻落实总体国家安全观，统筹发展和安全，践行安全发展理念。深入落实市委五届十一次全会精神，紧紧围绕</w:t>
      </w:r>
      <w:r>
        <w:rPr>
          <w:rFonts w:eastAsia="方正仿宋_GBK"/>
          <w:bCs/>
          <w:kern w:val="0"/>
          <w:szCs w:val="32"/>
        </w:rPr>
        <w:t>习近平总书记对重庆提出的营造良好政治生态，坚持</w:t>
      </w:r>
      <w:r>
        <w:rPr>
          <w:rFonts w:hint="eastAsia" w:eastAsia="方正仿宋_GBK"/>
          <w:bCs/>
          <w:kern w:val="0"/>
          <w:szCs w:val="32"/>
        </w:rPr>
        <w:t>“</w:t>
      </w:r>
      <w:r>
        <w:rPr>
          <w:rFonts w:eastAsia="方正仿宋_GBK"/>
          <w:bCs/>
          <w:kern w:val="0"/>
          <w:szCs w:val="32"/>
        </w:rPr>
        <w:t>两点</w:t>
      </w:r>
      <w:r>
        <w:rPr>
          <w:rFonts w:hint="eastAsia" w:eastAsia="方正仿宋_GBK"/>
          <w:bCs/>
          <w:kern w:val="0"/>
          <w:szCs w:val="32"/>
        </w:rPr>
        <w:t>”</w:t>
      </w:r>
      <w:r>
        <w:rPr>
          <w:rFonts w:eastAsia="方正仿宋_GBK"/>
          <w:bCs/>
          <w:kern w:val="0"/>
          <w:szCs w:val="32"/>
        </w:rPr>
        <w:t>定位、</w:t>
      </w:r>
      <w:r>
        <w:rPr>
          <w:rFonts w:hint="eastAsia" w:eastAsia="方正仿宋_GBK"/>
          <w:bCs/>
          <w:kern w:val="0"/>
          <w:szCs w:val="32"/>
        </w:rPr>
        <w:t>“</w:t>
      </w:r>
      <w:r>
        <w:rPr>
          <w:rFonts w:eastAsia="方正仿宋_GBK"/>
          <w:bCs/>
          <w:kern w:val="0"/>
          <w:szCs w:val="32"/>
        </w:rPr>
        <w:t>两地</w:t>
      </w:r>
      <w:r>
        <w:rPr>
          <w:rFonts w:hint="eastAsia" w:eastAsia="方正仿宋_GBK"/>
          <w:bCs/>
          <w:kern w:val="0"/>
          <w:szCs w:val="32"/>
        </w:rPr>
        <w:t>”“</w:t>
      </w:r>
      <w:r>
        <w:rPr>
          <w:rFonts w:eastAsia="方正仿宋_GBK"/>
          <w:bCs/>
          <w:kern w:val="0"/>
          <w:szCs w:val="32"/>
        </w:rPr>
        <w:t>两高”目标，发挥</w:t>
      </w:r>
      <w:r>
        <w:rPr>
          <w:rFonts w:hint="eastAsia" w:eastAsia="方正仿宋_GBK"/>
          <w:bCs/>
          <w:kern w:val="0"/>
          <w:szCs w:val="32"/>
        </w:rPr>
        <w:t>“</w:t>
      </w:r>
      <w:r>
        <w:rPr>
          <w:rFonts w:eastAsia="方正仿宋_GBK"/>
          <w:bCs/>
          <w:kern w:val="0"/>
          <w:szCs w:val="32"/>
        </w:rPr>
        <w:t>三个作用</w:t>
      </w:r>
      <w:r>
        <w:rPr>
          <w:rFonts w:hint="eastAsia" w:eastAsia="方正仿宋_GBK"/>
          <w:bCs/>
          <w:kern w:val="0"/>
          <w:szCs w:val="32"/>
        </w:rPr>
        <w:t>”</w:t>
      </w:r>
      <w:r>
        <w:rPr>
          <w:rFonts w:eastAsia="方正仿宋_GBK"/>
          <w:bCs/>
          <w:kern w:val="0"/>
          <w:szCs w:val="32"/>
        </w:rPr>
        <w:t>和推动成渝地区双城经济圈建设等重要指示要求</w:t>
      </w:r>
      <w:r>
        <w:rPr>
          <w:rFonts w:hint="eastAsia" w:ascii="方正仿宋_GBK" w:eastAsia="方正仿宋_GBK"/>
          <w:szCs w:val="32"/>
        </w:rPr>
        <w:t>，统筹推进“五位一体”总体布局，协调推进“四个全面”战略布局。坚持目标导向和问题导向相统一、立足国内和全球视野相统一、全面规划和突出重点相统一、战略性和操作性相统一的原则，聚焦目标研判、聚焦化解风险、聚焦基础建设，凝练提出“十四五时期”应急管理工作的总体思路、目标指标、重点任务和重大战略举措，指导我区未来五年应急管理事业改革发展方向。</w:t>
      </w:r>
    </w:p>
    <w:p w14:paraId="60C4898A">
      <w:pPr>
        <w:pStyle w:val="5"/>
        <w:keepNext/>
        <w:keepLines/>
        <w:spacing w:before="0" w:line="579" w:lineRule="exact"/>
        <w:ind w:firstLine="640" w:firstLineChars="200"/>
        <w:rPr>
          <w:rFonts w:ascii="方正楷体_GBK" w:hAnsi="Times New Roman" w:eastAsia="方正楷体_GBK"/>
          <w:b w:val="0"/>
          <w:bCs/>
          <w:sz w:val="32"/>
          <w:szCs w:val="32"/>
        </w:rPr>
      </w:pPr>
      <w:bookmarkStart w:id="34" w:name="_Toc75618152"/>
      <w:bookmarkStart w:id="35" w:name="_Toc87275315"/>
      <w:r>
        <w:rPr>
          <w:rFonts w:hint="eastAsia" w:ascii="方正楷体_GBK" w:hAnsi="Times New Roman" w:eastAsia="方正楷体_GBK"/>
          <w:b w:val="0"/>
          <w:bCs/>
          <w:sz w:val="32"/>
          <w:szCs w:val="32"/>
        </w:rPr>
        <w:t>（二）基本原则</w:t>
      </w:r>
      <w:bookmarkEnd w:id="34"/>
      <w:bookmarkEnd w:id="35"/>
    </w:p>
    <w:p w14:paraId="7B36F32E">
      <w:pPr>
        <w:pStyle w:val="20"/>
        <w:spacing w:after="0" w:line="579" w:lineRule="exact"/>
        <w:ind w:firstLine="640" w:firstLineChars="200"/>
        <w:rPr>
          <w:rFonts w:ascii="方正仿宋_GBK" w:eastAsia="方正仿宋_GBK"/>
          <w:b/>
          <w:bCs/>
          <w:szCs w:val="32"/>
        </w:rPr>
      </w:pPr>
      <w:r>
        <w:rPr>
          <w:rFonts w:hint="eastAsia" w:ascii="方正仿宋_GBK" w:eastAsia="方正仿宋_GBK"/>
          <w:b/>
          <w:bCs/>
          <w:szCs w:val="32"/>
        </w:rPr>
        <w:t>1</w:t>
      </w:r>
      <w:r>
        <w:rPr>
          <w:rFonts w:ascii="方正仿宋_GBK" w:eastAsia="方正仿宋_GBK"/>
          <w:b/>
          <w:bCs/>
          <w:szCs w:val="32"/>
        </w:rPr>
        <w:t>.</w:t>
      </w:r>
      <w:r>
        <w:rPr>
          <w:rFonts w:hint="eastAsia" w:ascii="方正仿宋_GBK" w:eastAsia="方正仿宋_GBK"/>
          <w:b/>
          <w:bCs/>
          <w:szCs w:val="32"/>
        </w:rPr>
        <w:t>坚持党的领导、坚强有力</w:t>
      </w:r>
    </w:p>
    <w:p w14:paraId="54A24DAD">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全面加强党对应急管理工作的集中统一领导，充分发挥党总揽全局、协调各方的领导核心作用，把党的政治优势、组织优势和社会主义集中力量办大事的体制优势转化为应急管理事业发展的强大动力和坚强保障。</w:t>
      </w:r>
    </w:p>
    <w:p w14:paraId="3F14A02A">
      <w:pPr>
        <w:pStyle w:val="20"/>
        <w:spacing w:after="0" w:line="579" w:lineRule="exact"/>
        <w:ind w:firstLine="640" w:firstLineChars="200"/>
        <w:rPr>
          <w:rFonts w:ascii="方正仿宋_GBK" w:eastAsia="方正仿宋_GBK"/>
          <w:b/>
          <w:bCs/>
          <w:szCs w:val="32"/>
        </w:rPr>
      </w:pPr>
      <w:r>
        <w:rPr>
          <w:rFonts w:hint="eastAsia" w:ascii="方正仿宋_GBK" w:eastAsia="方正仿宋_GBK"/>
          <w:b/>
          <w:bCs/>
          <w:szCs w:val="32"/>
        </w:rPr>
        <w:t>2</w:t>
      </w:r>
      <w:r>
        <w:rPr>
          <w:rFonts w:ascii="方正仿宋_GBK" w:eastAsia="方正仿宋_GBK"/>
          <w:b/>
          <w:bCs/>
          <w:szCs w:val="32"/>
        </w:rPr>
        <w:t>.</w:t>
      </w:r>
      <w:r>
        <w:rPr>
          <w:rFonts w:hint="eastAsia" w:ascii="方正仿宋_GBK" w:eastAsia="方正仿宋_GBK"/>
          <w:b/>
          <w:bCs/>
          <w:szCs w:val="32"/>
        </w:rPr>
        <w:t>坚持以人为本、安全发展</w:t>
      </w:r>
    </w:p>
    <w:p w14:paraId="22C55826">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牢固树立以人民为中心的发展思想，坚持“人民至上、生命至上”，坚守生命安全红线，正确处理好安全与发展、安全与效益的关系，最大限度降低各类事故灾害的危害和后果，维护社会稳定。</w:t>
      </w:r>
    </w:p>
    <w:p w14:paraId="519231A7">
      <w:pPr>
        <w:pStyle w:val="20"/>
        <w:spacing w:after="0" w:line="579" w:lineRule="exact"/>
        <w:ind w:firstLine="640" w:firstLineChars="200"/>
        <w:rPr>
          <w:rFonts w:ascii="方正仿宋_GBK" w:eastAsia="方正仿宋_GBK"/>
          <w:b/>
          <w:bCs/>
          <w:szCs w:val="32"/>
        </w:rPr>
      </w:pPr>
      <w:r>
        <w:rPr>
          <w:rFonts w:hint="eastAsia" w:ascii="方正仿宋_GBK" w:eastAsia="方正仿宋_GBK"/>
          <w:b/>
          <w:bCs/>
          <w:szCs w:val="32"/>
        </w:rPr>
        <w:t>3</w:t>
      </w:r>
      <w:r>
        <w:rPr>
          <w:rFonts w:ascii="方正仿宋_GBK" w:eastAsia="方正仿宋_GBK"/>
          <w:b/>
          <w:bCs/>
          <w:szCs w:val="32"/>
        </w:rPr>
        <w:t>.</w:t>
      </w:r>
      <w:r>
        <w:rPr>
          <w:rFonts w:hint="eastAsia" w:ascii="方正仿宋_GBK" w:eastAsia="方正仿宋_GBK"/>
          <w:b/>
          <w:bCs/>
          <w:szCs w:val="32"/>
        </w:rPr>
        <w:t>坚持预防为主、源头防范</w:t>
      </w:r>
    </w:p>
    <w:p w14:paraId="1A0781E5">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坚持“安全第一、预防为主、综合治理”的安全生产工作方针，坚持防抗救相结合，强化源头管控，把问题解决在萌芽之时、成灾之前，推进应急管理工作重心从注重灾后救助向注重灾前预防转变、从应对单一灾种向综合减灾转变、从减少灾害损失向减轻灾害风险转变。</w:t>
      </w:r>
    </w:p>
    <w:p w14:paraId="5D0C2283">
      <w:pPr>
        <w:pStyle w:val="20"/>
        <w:spacing w:after="0" w:line="579" w:lineRule="exact"/>
        <w:ind w:firstLine="640" w:firstLineChars="200"/>
        <w:rPr>
          <w:rFonts w:ascii="方正仿宋_GBK" w:eastAsia="方正仿宋_GBK"/>
          <w:b/>
          <w:bCs/>
          <w:szCs w:val="32"/>
        </w:rPr>
      </w:pPr>
      <w:r>
        <w:rPr>
          <w:rFonts w:hint="eastAsia" w:ascii="方正仿宋_GBK" w:eastAsia="方正仿宋_GBK"/>
          <w:b/>
          <w:bCs/>
          <w:szCs w:val="32"/>
        </w:rPr>
        <w:t>4</w:t>
      </w:r>
      <w:r>
        <w:rPr>
          <w:rFonts w:ascii="方正仿宋_GBK" w:eastAsia="方正仿宋_GBK"/>
          <w:b/>
          <w:bCs/>
          <w:szCs w:val="32"/>
        </w:rPr>
        <w:t>.</w:t>
      </w:r>
      <w:r>
        <w:rPr>
          <w:rFonts w:hint="eastAsia" w:ascii="方正仿宋_GBK" w:eastAsia="方正仿宋_GBK"/>
          <w:b/>
          <w:bCs/>
          <w:szCs w:val="32"/>
        </w:rPr>
        <w:t>坚持依法管理、精准治理</w:t>
      </w:r>
    </w:p>
    <w:p w14:paraId="6B060291">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运用法治思维和法治方式，完善应急管理领域法规和标准体系，全面提高依法防控、依法治理水平。创新科技手段和方法，加强事故灾害全过程精准防控，实现精准预警发布、精准抢险救援、精准恢复重建、精准监管执法。</w:t>
      </w:r>
    </w:p>
    <w:p w14:paraId="72635DA8">
      <w:pPr>
        <w:pStyle w:val="20"/>
        <w:spacing w:after="0" w:line="579" w:lineRule="exact"/>
        <w:ind w:firstLine="640" w:firstLineChars="200"/>
        <w:rPr>
          <w:rFonts w:ascii="方正仿宋_GBK" w:eastAsia="方正仿宋_GBK"/>
          <w:b/>
          <w:bCs/>
          <w:szCs w:val="32"/>
        </w:rPr>
      </w:pPr>
      <w:r>
        <w:rPr>
          <w:rFonts w:hint="eastAsia" w:ascii="方正仿宋_GBK" w:eastAsia="方正仿宋_GBK"/>
          <w:b/>
          <w:bCs/>
          <w:szCs w:val="32"/>
        </w:rPr>
        <w:t>5</w:t>
      </w:r>
      <w:r>
        <w:rPr>
          <w:rFonts w:ascii="方正仿宋_GBK" w:eastAsia="方正仿宋_GBK"/>
          <w:b/>
          <w:bCs/>
          <w:szCs w:val="32"/>
        </w:rPr>
        <w:t>.</w:t>
      </w:r>
      <w:r>
        <w:rPr>
          <w:rFonts w:hint="eastAsia" w:ascii="方正仿宋_GBK" w:eastAsia="方正仿宋_GBK"/>
          <w:b/>
          <w:bCs/>
          <w:szCs w:val="32"/>
        </w:rPr>
        <w:t>坚持全员参与、社会共治</w:t>
      </w:r>
    </w:p>
    <w:p w14:paraId="089D2D58">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落实党委政府、监管部门、企业主体、行业自律、社会监督等各方责任，确保责任链条无缝对接，形成整体合力。注重发挥市场机制作用，强化社会参与，组织和引导社会各方力量参与安全生产和防灾减灾救灾工作，提升社会公众自救互救意识和能力，筑牢防灾减灾救灾的人民防线。</w:t>
      </w:r>
    </w:p>
    <w:p w14:paraId="41B6D7B7">
      <w:pPr>
        <w:pStyle w:val="5"/>
        <w:keepNext/>
        <w:keepLines/>
        <w:spacing w:before="0" w:line="579" w:lineRule="exact"/>
        <w:ind w:firstLine="640" w:firstLineChars="200"/>
        <w:rPr>
          <w:rFonts w:ascii="方正楷体_GBK" w:hAnsi="Times New Roman" w:eastAsia="方正楷体_GBK"/>
          <w:b w:val="0"/>
          <w:bCs/>
          <w:sz w:val="32"/>
          <w:szCs w:val="32"/>
        </w:rPr>
      </w:pPr>
      <w:bookmarkStart w:id="36" w:name="_Toc87275316"/>
      <w:bookmarkStart w:id="37" w:name="_Toc75618153"/>
      <w:r>
        <w:rPr>
          <w:rFonts w:hint="eastAsia" w:ascii="方正楷体_GBK" w:hAnsi="Times New Roman" w:eastAsia="方正楷体_GBK"/>
          <w:b w:val="0"/>
          <w:bCs/>
          <w:sz w:val="32"/>
          <w:szCs w:val="32"/>
        </w:rPr>
        <w:t>（三）发展目标</w:t>
      </w:r>
      <w:bookmarkEnd w:id="36"/>
      <w:bookmarkEnd w:id="37"/>
    </w:p>
    <w:p w14:paraId="23762305">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贯彻落实习近平总书记在中央政治局第十九次集体学习时的重要讲话精神，充分发挥两江新区应急管理体系特色和优势，积极推进我区应急管理体系和能力现代化。严格对标应急管理部《应急管理信息化发展战略规划框架（2018-2022年）》，按照《应急管理部关于做好“十四五”应急管理领域专项规划编制工作的通知》（应急函〔2019〕179号）、《关于组织开展全市“十四五”规划编制工作的通知》（渝发改规〔2019〕849号）要求，明确并落实“十四五”期间应急管理专项重点项目建设，以全面增强综合防灾减灾能力为总目标，以防范安全生产、自然灾害类突发事件为重点，以人才为依托、以科技为手段，综合运用云计算、大数据、人工智能、物联网、5G、区块链等信息技术，结合我区特点，全面建设应急管理组织体系和智能支撑体系，形成全区应急管理“一盘棋”的格局。</w:t>
      </w:r>
    </w:p>
    <w:p w14:paraId="4662D527">
      <w:pPr>
        <w:pStyle w:val="20"/>
        <w:spacing w:after="0" w:line="579" w:lineRule="exact"/>
        <w:ind w:firstLine="640" w:firstLineChars="200"/>
        <w:rPr>
          <w:rFonts w:ascii="方正仿宋_GBK" w:eastAsia="方正仿宋_GBK"/>
          <w:b/>
          <w:szCs w:val="32"/>
        </w:rPr>
      </w:pPr>
      <w:r>
        <w:rPr>
          <w:rFonts w:hint="eastAsia" w:ascii="方正仿宋_GBK" w:eastAsia="方正仿宋_GBK"/>
          <w:b/>
          <w:szCs w:val="32"/>
        </w:rPr>
        <w:t>1</w:t>
      </w:r>
      <w:r>
        <w:rPr>
          <w:rFonts w:ascii="方正仿宋_GBK" w:eastAsia="方正仿宋_GBK"/>
          <w:b/>
          <w:szCs w:val="32"/>
        </w:rPr>
        <w:t>.</w:t>
      </w:r>
      <w:r>
        <w:rPr>
          <w:rFonts w:hint="eastAsia" w:ascii="方正仿宋_GBK" w:eastAsia="方正仿宋_GBK"/>
          <w:b/>
          <w:szCs w:val="32"/>
        </w:rPr>
        <w:t>总体目标</w:t>
      </w:r>
    </w:p>
    <w:p w14:paraId="4CC49AAF">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到2</w:t>
      </w:r>
      <w:r>
        <w:rPr>
          <w:rFonts w:ascii="方正仿宋_GBK" w:eastAsia="方正仿宋_GBK"/>
          <w:szCs w:val="32"/>
        </w:rPr>
        <w:t>025</w:t>
      </w:r>
      <w:r>
        <w:rPr>
          <w:rFonts w:hint="eastAsia" w:ascii="方正仿宋_GBK" w:eastAsia="方正仿宋_GBK"/>
          <w:szCs w:val="32"/>
        </w:rPr>
        <w:t>年两江新区应急管理体系与能力现代化建设</w:t>
      </w:r>
      <w:r>
        <w:rPr>
          <w:rFonts w:ascii="方正仿宋_GBK" w:eastAsia="方正仿宋_GBK"/>
          <w:szCs w:val="32"/>
        </w:rPr>
        <w:t>实现</w:t>
      </w:r>
      <w:r>
        <w:rPr>
          <w:rFonts w:hint="eastAsia" w:ascii="方正仿宋_GBK" w:eastAsia="方正仿宋_GBK"/>
          <w:szCs w:val="32"/>
        </w:rPr>
        <w:t>与</w:t>
      </w:r>
      <w:r>
        <w:rPr>
          <w:rFonts w:ascii="方正仿宋_GBK" w:eastAsia="方正仿宋_GBK"/>
          <w:szCs w:val="32"/>
        </w:rPr>
        <w:t>新一代信息技术与应急管理业务深度融合，基本建成</w:t>
      </w:r>
      <w:r>
        <w:rPr>
          <w:rFonts w:hint="eastAsia" w:ascii="方正仿宋_GBK" w:eastAsia="方正仿宋_GBK"/>
          <w:szCs w:val="32"/>
        </w:rPr>
        <w:t>“</w:t>
      </w:r>
      <w:r>
        <w:rPr>
          <w:rFonts w:ascii="方正仿宋_GBK" w:eastAsia="方正仿宋_GBK"/>
          <w:szCs w:val="32"/>
        </w:rPr>
        <w:t>智慧应急</w:t>
      </w:r>
      <w:r>
        <w:rPr>
          <w:rFonts w:hint="eastAsia" w:ascii="方正仿宋_GBK" w:eastAsia="方正仿宋_GBK"/>
          <w:szCs w:val="32"/>
        </w:rPr>
        <w:t>”</w:t>
      </w:r>
      <w:r>
        <w:rPr>
          <w:rFonts w:ascii="方正仿宋_GBK" w:eastAsia="方正仿宋_GBK"/>
          <w:szCs w:val="32"/>
        </w:rPr>
        <w:t>信息化体系</w:t>
      </w:r>
      <w:r>
        <w:rPr>
          <w:rFonts w:hint="eastAsia" w:ascii="方正仿宋_GBK" w:eastAsia="方正仿宋_GBK"/>
          <w:szCs w:val="32"/>
        </w:rPr>
        <w:t>。风险防控、基层基础、应急救援、综合保障、社会协同能力明显增强，安全生产整体水平、防灾减灾救灾能力显著增强，重特大生产安全事故得到有效遏制，有序有效应对各类事故灾害，人民群众生命和财产安全得到有力保障，为两江新区经济社会持续健康发展提供有力支撑，将两江新区建设成为具有重要影响力的安全发展典范城市，全面实现城市安全治理体系和能力现代化。</w:t>
      </w:r>
    </w:p>
    <w:p w14:paraId="5331C569">
      <w:pPr>
        <w:pStyle w:val="20"/>
        <w:spacing w:after="0" w:line="579" w:lineRule="exact"/>
        <w:ind w:firstLine="640" w:firstLineChars="200"/>
        <w:rPr>
          <w:rFonts w:ascii="方正仿宋_GBK" w:eastAsia="方正仿宋_GBK"/>
          <w:b/>
          <w:szCs w:val="32"/>
        </w:rPr>
      </w:pPr>
      <w:r>
        <w:rPr>
          <w:rFonts w:hint="eastAsia" w:ascii="方正仿宋_GBK" w:eastAsia="方正仿宋_GBK"/>
          <w:b/>
          <w:szCs w:val="32"/>
        </w:rPr>
        <w:t>2</w:t>
      </w:r>
      <w:r>
        <w:rPr>
          <w:rFonts w:ascii="方正仿宋_GBK" w:eastAsia="方正仿宋_GBK"/>
          <w:b/>
          <w:szCs w:val="32"/>
        </w:rPr>
        <w:t>.</w:t>
      </w:r>
      <w:r>
        <w:rPr>
          <w:rFonts w:hint="eastAsia" w:ascii="方正仿宋_GBK" w:eastAsia="方正仿宋_GBK"/>
          <w:b/>
          <w:szCs w:val="32"/>
        </w:rPr>
        <w:t>分项目标</w:t>
      </w:r>
    </w:p>
    <w:p w14:paraId="691D7CCD">
      <w:pPr>
        <w:pStyle w:val="20"/>
        <w:spacing w:after="0" w:line="579" w:lineRule="exact"/>
        <w:ind w:firstLine="640" w:firstLineChars="200"/>
        <w:rPr>
          <w:rFonts w:ascii="方正仿宋_GBK" w:eastAsia="方正仿宋_GBK"/>
          <w:bCs/>
          <w:szCs w:val="32"/>
        </w:rPr>
      </w:pPr>
      <w:r>
        <w:rPr>
          <w:rFonts w:hint="eastAsia" w:ascii="方正仿宋_GBK" w:eastAsia="方正仿宋_GBK"/>
          <w:bCs/>
          <w:szCs w:val="32"/>
        </w:rPr>
        <w:t>——应急管理体制机制明晰高效。应急管理领导体制、工作机制、职能划分、机构设置更加科学合理，应急管理机构基础设施、装备条件大幅改善，履职能力全面提升，法治化、专业化、规范化、现代化建设取得重大进展。应急管理法制体系更加健全。区本级综合行政执法装备达标率80%，基层综合行政执法装备达标率100%。</w:t>
      </w:r>
    </w:p>
    <w:p w14:paraId="4FD649A3">
      <w:pPr>
        <w:pStyle w:val="20"/>
        <w:spacing w:after="0" w:line="579" w:lineRule="exact"/>
        <w:ind w:firstLine="640" w:firstLineChars="200"/>
        <w:rPr>
          <w:rFonts w:ascii="方正仿宋_GBK" w:eastAsia="方正仿宋_GBK"/>
          <w:bCs/>
          <w:szCs w:val="32"/>
        </w:rPr>
      </w:pPr>
      <w:r>
        <w:rPr>
          <w:rFonts w:hint="eastAsia" w:ascii="方正仿宋_GBK" w:eastAsia="方正仿宋_GBK"/>
          <w:bCs/>
          <w:szCs w:val="32"/>
        </w:rPr>
        <w:t>——事故灾害防控能力显著提升。健全重大安全风险防控体系，重特大生产安全事故得到有效遏制，防灾减灾和监测预警能力明显增强，自然灾害造成的损失持续下降。灾害预警信息公众覆盖率达9</w:t>
      </w:r>
      <w:r>
        <w:rPr>
          <w:rFonts w:ascii="方正仿宋_GBK" w:eastAsia="方正仿宋_GBK"/>
          <w:bCs/>
          <w:szCs w:val="32"/>
        </w:rPr>
        <w:t>0</w:t>
      </w:r>
      <w:r>
        <w:rPr>
          <w:rFonts w:hint="eastAsia" w:ascii="方正仿宋_GBK" w:eastAsia="方正仿宋_GBK"/>
          <w:bCs/>
          <w:szCs w:val="32"/>
        </w:rPr>
        <w:t>%以上。</w:t>
      </w:r>
    </w:p>
    <w:p w14:paraId="6C88DC72">
      <w:pPr>
        <w:pStyle w:val="20"/>
        <w:spacing w:after="0" w:line="579" w:lineRule="exact"/>
        <w:ind w:firstLine="640" w:firstLineChars="200"/>
        <w:rPr>
          <w:rFonts w:ascii="方正仿宋_GBK" w:eastAsia="方正仿宋_GBK"/>
          <w:bCs/>
          <w:szCs w:val="32"/>
        </w:rPr>
      </w:pPr>
      <w:r>
        <w:rPr>
          <w:rFonts w:hint="eastAsia" w:ascii="方正仿宋_GBK" w:eastAsia="方正仿宋_GBK"/>
          <w:bCs/>
          <w:szCs w:val="32"/>
        </w:rPr>
        <w:t>——事故灾害应急能力明显增强。综合应急救援队伍能力显著提升、专业应急救援队伍体系更加完善、航空应急救援体系基本形成、社会应急力量健康有序发展。应急指挥、应急通信、应急物资、紧急运输等保障能力全面加强。</w:t>
      </w:r>
      <w:r>
        <w:rPr>
          <w:rFonts w:ascii="方正仿宋_GBK" w:eastAsia="方正仿宋_GBK"/>
          <w:bCs/>
          <w:szCs w:val="32"/>
        </w:rPr>
        <w:t>到2025年</w:t>
      </w:r>
      <w:r>
        <w:rPr>
          <w:rFonts w:hint="eastAsia" w:ascii="方正仿宋_GBK" w:eastAsia="方正仿宋_GBK"/>
          <w:bCs/>
          <w:szCs w:val="32"/>
        </w:rPr>
        <w:t>，按照市级统一部署，我区</w:t>
      </w:r>
      <w:r>
        <w:rPr>
          <w:rFonts w:ascii="方正仿宋_GBK" w:eastAsia="方正仿宋_GBK"/>
          <w:bCs/>
          <w:szCs w:val="32"/>
        </w:rPr>
        <w:t>综合应急救援队伍建成率达100%</w:t>
      </w:r>
      <w:r>
        <w:rPr>
          <w:rFonts w:hint="eastAsia" w:ascii="方正仿宋_GBK" w:eastAsia="方正仿宋_GBK"/>
          <w:bCs/>
          <w:szCs w:val="32"/>
        </w:rPr>
        <w:t>，</w:t>
      </w:r>
      <w:r>
        <w:rPr>
          <w:rFonts w:ascii="方正仿宋_GBK" w:eastAsia="方正仿宋_GBK"/>
          <w:bCs/>
          <w:szCs w:val="32"/>
        </w:rPr>
        <w:t>社区应急救援站（微型消防站）建成率达100%</w:t>
      </w:r>
      <w:r>
        <w:rPr>
          <w:rFonts w:hint="eastAsia" w:ascii="方正仿宋_GBK" w:eastAsia="方正仿宋_GBK"/>
          <w:bCs/>
          <w:szCs w:val="32"/>
        </w:rPr>
        <w:t>。</w:t>
      </w:r>
    </w:p>
    <w:p w14:paraId="20F8B609">
      <w:pPr>
        <w:pStyle w:val="20"/>
        <w:spacing w:after="0" w:line="579" w:lineRule="exact"/>
        <w:ind w:firstLine="640" w:firstLineChars="200"/>
        <w:rPr>
          <w:rFonts w:ascii="方正仿宋_GBK" w:eastAsia="方正仿宋_GBK"/>
          <w:bCs/>
          <w:szCs w:val="32"/>
        </w:rPr>
      </w:pPr>
      <w:r>
        <w:rPr>
          <w:rFonts w:hint="eastAsia" w:ascii="方正仿宋_GBK" w:eastAsia="方正仿宋_GBK"/>
          <w:bCs/>
          <w:szCs w:val="32"/>
        </w:rPr>
        <w:t>——应急资源要素配置更加合理。科技支撑、人才保障、信息技术、产业资源更加有力，应急管理科技创新理论研究取得新突破，结构合理、素质优良的人才队伍初现规模，应急管理信息化水平明显提高。具有应急管理相关学历、职业资格和实践经验的执法人员不低于在职执法人员的</w:t>
      </w:r>
      <w:r>
        <w:rPr>
          <w:rFonts w:ascii="方正仿宋_GBK" w:eastAsia="方正仿宋_GBK"/>
          <w:bCs/>
          <w:szCs w:val="32"/>
        </w:rPr>
        <w:t>7</w:t>
      </w:r>
      <w:r>
        <w:rPr>
          <w:rFonts w:hint="eastAsia" w:ascii="方正仿宋_GBK" w:eastAsia="方正仿宋_GBK"/>
          <w:bCs/>
          <w:szCs w:val="32"/>
        </w:rPr>
        <w:t>5%。</w:t>
      </w:r>
    </w:p>
    <w:p w14:paraId="396F3F32">
      <w:pPr>
        <w:pStyle w:val="20"/>
        <w:spacing w:after="0" w:line="579" w:lineRule="exact"/>
        <w:ind w:firstLine="640" w:firstLineChars="200"/>
        <w:rPr>
          <w:rFonts w:ascii="方正仿宋_GBK" w:eastAsia="方正仿宋_GBK"/>
          <w:bCs/>
          <w:szCs w:val="32"/>
        </w:rPr>
      </w:pPr>
      <w:r>
        <w:rPr>
          <w:rFonts w:hint="eastAsia" w:ascii="方正仿宋_GBK" w:eastAsia="方正仿宋_GBK"/>
          <w:bCs/>
          <w:szCs w:val="32"/>
        </w:rPr>
        <w:t>——社会共治共建格局基本形成。公众安全意识和自救互救能力明显提升，市场机制作用有效发挥，应急管理共建共治共享格局基本形成。</w:t>
      </w:r>
      <w:r>
        <w:rPr>
          <w:rFonts w:ascii="方正仿宋_GBK" w:eastAsia="方正仿宋_GBK"/>
          <w:bCs/>
          <w:szCs w:val="32"/>
        </w:rPr>
        <w:t>社会动员统一有序</w:t>
      </w:r>
      <w:r>
        <w:rPr>
          <w:rFonts w:hint="eastAsia" w:ascii="方正仿宋_GBK" w:eastAsia="方正仿宋_GBK"/>
          <w:bCs/>
          <w:szCs w:val="32"/>
        </w:rPr>
        <w:t>，</w:t>
      </w:r>
      <w:r>
        <w:rPr>
          <w:rFonts w:ascii="方正仿宋_GBK" w:eastAsia="方正仿宋_GBK"/>
          <w:bCs/>
          <w:szCs w:val="32"/>
        </w:rPr>
        <w:t>社会力量信息集中动态管理，社会捐赠物资信息准确透明，社会救援力量、救援物资、救援装备组织调度及时高效。广泛发布与精准动员相结合的预警发布体系全面建成，企业、社区、动员发布能力大幅提升。互联网舆情监测分析全面及时，舆情引导和响应处置能力显著增强。智能化社会公众宣传培训体系全面形成，防灾减灾救灾知识和自救互救技能培训效果明显提高。</w:t>
      </w:r>
    </w:p>
    <w:p w14:paraId="136523E4">
      <w:pPr>
        <w:pStyle w:val="20"/>
        <w:spacing w:after="0" w:line="579" w:lineRule="exact"/>
        <w:ind w:firstLine="640" w:firstLineChars="200"/>
        <w:rPr>
          <w:rFonts w:ascii="方正仿宋_GBK" w:eastAsia="方正仿宋_GBK"/>
          <w:b/>
          <w:szCs w:val="32"/>
        </w:rPr>
      </w:pPr>
      <w:r>
        <w:rPr>
          <w:rFonts w:hint="eastAsia" w:ascii="方正仿宋_GBK" w:eastAsia="方正仿宋_GBK"/>
          <w:b/>
          <w:szCs w:val="32"/>
        </w:rPr>
        <w:t>3</w:t>
      </w:r>
      <w:r>
        <w:rPr>
          <w:rFonts w:ascii="方正仿宋_GBK" w:eastAsia="方正仿宋_GBK"/>
          <w:b/>
          <w:szCs w:val="32"/>
        </w:rPr>
        <w:t>.</w:t>
      </w:r>
      <w:r>
        <w:rPr>
          <w:rFonts w:hint="eastAsia" w:ascii="方正仿宋_GBK" w:eastAsia="方正仿宋_GBK"/>
          <w:b/>
          <w:szCs w:val="32"/>
        </w:rPr>
        <w:t>核心指标</w:t>
      </w:r>
    </w:p>
    <w:p w14:paraId="2684E122">
      <w:pPr>
        <w:pStyle w:val="16"/>
        <w:spacing w:line="579" w:lineRule="exact"/>
        <w:rPr>
          <w:rFonts w:ascii="方正仿宋_GBK" w:hAnsi="方正仿宋_GBK" w:cs="方正仿宋_GBK"/>
          <w:sz w:val="32"/>
          <w:szCs w:val="32"/>
        </w:rPr>
      </w:pPr>
      <w:r>
        <w:rPr>
          <w:rFonts w:hint="eastAsia" w:eastAsia="方正黑体_GBK"/>
          <w:sz w:val="32"/>
          <w:szCs w:val="32"/>
        </w:rPr>
        <w:t xml:space="preserve">表 </w:t>
      </w:r>
      <w:r>
        <w:rPr>
          <w:rFonts w:eastAsia="方正黑体_GBK"/>
          <w:sz w:val="32"/>
          <w:szCs w:val="32"/>
        </w:rPr>
        <w:fldChar w:fldCharType="begin"/>
      </w:r>
      <w:r>
        <w:rPr>
          <w:rFonts w:eastAsia="方正黑体_GBK"/>
          <w:sz w:val="32"/>
          <w:szCs w:val="32"/>
        </w:rPr>
        <w:instrText xml:space="preserve"> </w:instrText>
      </w:r>
      <w:r>
        <w:rPr>
          <w:rFonts w:hint="eastAsia" w:eastAsia="方正黑体_GBK"/>
          <w:sz w:val="32"/>
          <w:szCs w:val="32"/>
        </w:rPr>
        <w:instrText xml:space="preserve">SEQ 表 \* ARABIC</w:instrText>
      </w:r>
      <w:r>
        <w:rPr>
          <w:rFonts w:eastAsia="方正黑体_GBK"/>
          <w:sz w:val="32"/>
          <w:szCs w:val="32"/>
        </w:rPr>
        <w:instrText xml:space="preserve"> </w:instrText>
      </w:r>
      <w:r>
        <w:rPr>
          <w:rFonts w:eastAsia="方正黑体_GBK"/>
          <w:sz w:val="32"/>
          <w:szCs w:val="32"/>
        </w:rPr>
        <w:fldChar w:fldCharType="separate"/>
      </w:r>
      <w:r>
        <w:rPr>
          <w:rFonts w:eastAsia="方正黑体_GBK"/>
          <w:sz w:val="32"/>
          <w:szCs w:val="32"/>
        </w:rPr>
        <w:t>1</w:t>
      </w:r>
      <w:r>
        <w:rPr>
          <w:rFonts w:eastAsia="方正黑体_GBK"/>
          <w:sz w:val="32"/>
          <w:szCs w:val="32"/>
        </w:rPr>
        <w:fldChar w:fldCharType="end"/>
      </w:r>
      <w:r>
        <w:rPr>
          <w:rFonts w:eastAsia="方正黑体_GBK"/>
          <w:sz w:val="32"/>
          <w:szCs w:val="32"/>
        </w:rPr>
        <w:t xml:space="preserve"> </w:t>
      </w:r>
      <w:r>
        <w:rPr>
          <w:rFonts w:hint="eastAsia" w:eastAsia="方正黑体_GBK"/>
          <w:sz w:val="32"/>
          <w:szCs w:val="32"/>
        </w:rPr>
        <w:t>“十四五”时期应急管理核心指标</w:t>
      </w:r>
    </w:p>
    <w:tbl>
      <w:tblPr>
        <w:tblStyle w:val="36"/>
        <w:tblW w:w="0" w:type="auto"/>
        <w:jc w:val="center"/>
        <w:tblBorders>
          <w:top w:val="single" w:color="000000" w:sz="8" w:space="0"/>
          <w:left w:val="single" w:color="000000" w:sz="8" w:space="0"/>
          <w:bottom w:val="single" w:color="000000" w:sz="8" w:space="0"/>
          <w:right w:val="single" w:color="000000" w:sz="8" w:space="0"/>
          <w:insideH w:val="dotted" w:color="000000" w:sz="4" w:space="0"/>
          <w:insideV w:val="dotted" w:color="000000" w:sz="4" w:space="0"/>
        </w:tblBorders>
        <w:tblLayout w:type="fixed"/>
        <w:tblCellMar>
          <w:top w:w="0" w:type="dxa"/>
          <w:left w:w="108" w:type="dxa"/>
          <w:bottom w:w="0" w:type="dxa"/>
          <w:right w:w="108" w:type="dxa"/>
        </w:tblCellMar>
      </w:tblPr>
      <w:tblGrid>
        <w:gridCol w:w="792"/>
        <w:gridCol w:w="6223"/>
        <w:gridCol w:w="1654"/>
      </w:tblGrid>
      <w:tr w14:paraId="1B1EA47C">
        <w:tblPrEx>
          <w:tblBorders>
            <w:top w:val="single" w:color="000000" w:sz="8" w:space="0"/>
            <w:left w:val="single" w:color="000000" w:sz="8" w:space="0"/>
            <w:bottom w:val="single" w:color="000000" w:sz="8" w:space="0"/>
            <w:right w:val="single" w:color="000000" w:sz="8" w:space="0"/>
            <w:insideH w:val="dotted" w:color="000000" w:sz="4" w:space="0"/>
            <w:insideV w:val="dotted" w:color="000000" w:sz="4" w:space="0"/>
          </w:tblBorders>
          <w:tblCellMar>
            <w:top w:w="0" w:type="dxa"/>
            <w:left w:w="108" w:type="dxa"/>
            <w:bottom w:w="0" w:type="dxa"/>
            <w:right w:w="108" w:type="dxa"/>
          </w:tblCellMar>
        </w:tblPrEx>
        <w:trPr>
          <w:trHeight w:val="590" w:hRule="atLeast"/>
          <w:tblHeader/>
          <w:jc w:val="center"/>
        </w:trPr>
        <w:tc>
          <w:tcPr>
            <w:tcW w:w="792" w:type="dxa"/>
            <w:tcBorders>
              <w:bottom w:val="single" w:color="auto" w:sz="4" w:space="0"/>
            </w:tcBorders>
            <w:vAlign w:val="center"/>
          </w:tcPr>
          <w:p w14:paraId="09C3E08D">
            <w:pPr>
              <w:snapToGrid w:val="0"/>
              <w:spacing w:line="579" w:lineRule="exact"/>
              <w:jc w:val="center"/>
              <w:rPr>
                <w:rFonts w:ascii="方正黑体_GBK" w:hAnsi="方正黑体_GBK" w:eastAsia="方正黑体_GBK" w:cs="方正黑体_GBK"/>
                <w:sz w:val="28"/>
              </w:rPr>
            </w:pPr>
            <w:r>
              <w:rPr>
                <w:rFonts w:hint="eastAsia" w:ascii="方正黑体_GBK" w:hAnsi="方正黑体_GBK" w:eastAsia="方正黑体_GBK" w:cs="方正黑体_GBK"/>
                <w:sz w:val="28"/>
              </w:rPr>
              <w:t>序号</w:t>
            </w:r>
          </w:p>
        </w:tc>
        <w:tc>
          <w:tcPr>
            <w:tcW w:w="6223" w:type="dxa"/>
            <w:tcBorders>
              <w:bottom w:val="single" w:color="auto" w:sz="4" w:space="0"/>
            </w:tcBorders>
            <w:vAlign w:val="center"/>
          </w:tcPr>
          <w:p w14:paraId="430733C4">
            <w:pPr>
              <w:snapToGrid w:val="0"/>
              <w:spacing w:line="579" w:lineRule="exact"/>
              <w:jc w:val="center"/>
              <w:rPr>
                <w:rFonts w:ascii="方正黑体_GBK" w:hAnsi="方正黑体_GBK" w:eastAsia="方正黑体_GBK" w:cs="方正黑体_GBK"/>
                <w:sz w:val="28"/>
              </w:rPr>
            </w:pPr>
            <w:r>
              <w:rPr>
                <w:rFonts w:hint="eastAsia" w:ascii="方正黑体_GBK" w:hAnsi="方正黑体_GBK" w:eastAsia="方正黑体_GBK" w:cs="方正黑体_GBK"/>
                <w:sz w:val="28"/>
              </w:rPr>
              <w:t>指标内容</w:t>
            </w:r>
          </w:p>
        </w:tc>
        <w:tc>
          <w:tcPr>
            <w:tcW w:w="1654" w:type="dxa"/>
            <w:tcBorders>
              <w:bottom w:val="single" w:color="auto" w:sz="4" w:space="0"/>
            </w:tcBorders>
            <w:vAlign w:val="center"/>
          </w:tcPr>
          <w:p w14:paraId="2B49DC7D">
            <w:pPr>
              <w:snapToGrid w:val="0"/>
              <w:spacing w:line="579" w:lineRule="exact"/>
              <w:jc w:val="center"/>
              <w:rPr>
                <w:rFonts w:ascii="方正黑体_GBK" w:hAnsi="方正黑体_GBK" w:eastAsia="方正黑体_GBK" w:cs="方正黑体_GBK"/>
                <w:sz w:val="28"/>
              </w:rPr>
            </w:pPr>
            <w:r>
              <w:rPr>
                <w:rFonts w:hint="eastAsia" w:ascii="方正黑体_GBK" w:hAnsi="方正黑体_GBK" w:eastAsia="方正黑体_GBK" w:cs="方正黑体_GBK"/>
                <w:sz w:val="28"/>
              </w:rPr>
              <w:t>预期值</w:t>
            </w:r>
          </w:p>
        </w:tc>
      </w:tr>
      <w:tr w14:paraId="3BFC644C">
        <w:tblPrEx>
          <w:tblBorders>
            <w:top w:val="single" w:color="000000" w:sz="8" w:space="0"/>
            <w:left w:val="single" w:color="000000" w:sz="8" w:space="0"/>
            <w:bottom w:val="single" w:color="000000" w:sz="8" w:space="0"/>
            <w:right w:val="single" w:color="000000" w:sz="8" w:space="0"/>
            <w:insideH w:val="dotted" w:color="000000" w:sz="4" w:space="0"/>
            <w:insideV w:val="dotted" w:color="000000" w:sz="4" w:space="0"/>
          </w:tblBorders>
          <w:tblCellMar>
            <w:top w:w="0" w:type="dxa"/>
            <w:left w:w="108" w:type="dxa"/>
            <w:bottom w:w="0" w:type="dxa"/>
            <w:right w:w="108" w:type="dxa"/>
          </w:tblCellMar>
        </w:tblPrEx>
        <w:trPr>
          <w:trHeight w:val="590" w:hRule="atLeast"/>
          <w:jc w:val="center"/>
        </w:trPr>
        <w:tc>
          <w:tcPr>
            <w:tcW w:w="792" w:type="dxa"/>
            <w:tcBorders>
              <w:top w:val="single" w:color="auto" w:sz="4" w:space="0"/>
            </w:tcBorders>
            <w:vAlign w:val="center"/>
          </w:tcPr>
          <w:p w14:paraId="7B836E41">
            <w:pPr>
              <w:snapToGrid w:val="0"/>
              <w:spacing w:line="579" w:lineRule="exact"/>
              <w:jc w:val="center"/>
              <w:rPr>
                <w:rFonts w:ascii="方正仿宋_GBK" w:hAnsi="方正黑体_GBK" w:cs="方正黑体_GBK"/>
                <w:sz w:val="28"/>
              </w:rPr>
            </w:pPr>
            <w:r>
              <w:rPr>
                <w:rFonts w:hint="eastAsia" w:ascii="方正仿宋_GBK" w:hAnsi="方正黑体_GBK" w:cs="方正黑体_GBK"/>
                <w:sz w:val="28"/>
              </w:rPr>
              <w:t>1</w:t>
            </w:r>
          </w:p>
        </w:tc>
        <w:tc>
          <w:tcPr>
            <w:tcW w:w="6223" w:type="dxa"/>
            <w:tcBorders>
              <w:top w:val="single" w:color="auto" w:sz="4" w:space="0"/>
            </w:tcBorders>
            <w:vAlign w:val="center"/>
          </w:tcPr>
          <w:p w14:paraId="40E2315B">
            <w:pPr>
              <w:snapToGrid w:val="0"/>
              <w:spacing w:line="579" w:lineRule="exact"/>
              <w:jc w:val="left"/>
              <w:rPr>
                <w:rFonts w:ascii="方正仿宋_GBK" w:hAnsi="方正黑体_GBK" w:cs="方正黑体_GBK"/>
                <w:sz w:val="28"/>
              </w:rPr>
            </w:pPr>
            <w:r>
              <w:rPr>
                <w:rFonts w:hint="eastAsia" w:ascii="方正仿宋_GBK" w:hAnsi="方正黑体_GBK" w:cs="方正黑体_GBK"/>
                <w:sz w:val="28"/>
              </w:rPr>
              <w:t>生产安全事故死亡人数</w:t>
            </w:r>
          </w:p>
        </w:tc>
        <w:tc>
          <w:tcPr>
            <w:tcW w:w="1654" w:type="dxa"/>
            <w:tcBorders>
              <w:top w:val="single" w:color="auto" w:sz="4" w:space="0"/>
            </w:tcBorders>
            <w:vAlign w:val="center"/>
          </w:tcPr>
          <w:p w14:paraId="342E2599">
            <w:pPr>
              <w:snapToGrid w:val="0"/>
              <w:spacing w:line="579" w:lineRule="exact"/>
              <w:jc w:val="center"/>
              <w:rPr>
                <w:rFonts w:ascii="方正仿宋_GBK" w:hAnsi="方正黑体_GBK" w:cs="方正黑体_GBK"/>
                <w:sz w:val="28"/>
              </w:rPr>
            </w:pPr>
            <w:r>
              <w:rPr>
                <w:rFonts w:hint="eastAsia" w:ascii="方正仿宋_GBK" w:hAnsi="方正黑体_GBK" w:cs="方正黑体_GBK"/>
                <w:sz w:val="28"/>
              </w:rPr>
              <w:t>下降9%</w:t>
            </w:r>
          </w:p>
        </w:tc>
      </w:tr>
      <w:tr w14:paraId="5FBF365A">
        <w:tblPrEx>
          <w:tblBorders>
            <w:top w:val="single" w:color="000000" w:sz="8" w:space="0"/>
            <w:left w:val="single" w:color="000000" w:sz="8" w:space="0"/>
            <w:bottom w:val="single" w:color="000000" w:sz="8" w:space="0"/>
            <w:right w:val="single" w:color="000000" w:sz="8" w:space="0"/>
            <w:insideH w:val="dotted" w:color="000000" w:sz="4" w:space="0"/>
            <w:insideV w:val="dotted" w:color="000000" w:sz="4" w:space="0"/>
          </w:tblBorders>
          <w:tblCellMar>
            <w:top w:w="0" w:type="dxa"/>
            <w:left w:w="108" w:type="dxa"/>
            <w:bottom w:w="0" w:type="dxa"/>
            <w:right w:w="108" w:type="dxa"/>
          </w:tblCellMar>
        </w:tblPrEx>
        <w:trPr>
          <w:trHeight w:val="590" w:hRule="atLeast"/>
          <w:jc w:val="center"/>
        </w:trPr>
        <w:tc>
          <w:tcPr>
            <w:tcW w:w="792" w:type="dxa"/>
            <w:vAlign w:val="center"/>
          </w:tcPr>
          <w:p w14:paraId="0112122E">
            <w:pPr>
              <w:snapToGrid w:val="0"/>
              <w:spacing w:line="579" w:lineRule="exact"/>
              <w:jc w:val="center"/>
              <w:rPr>
                <w:rFonts w:ascii="方正仿宋_GBK" w:hAnsi="方正黑体_GBK" w:cs="方正黑体_GBK"/>
                <w:sz w:val="28"/>
              </w:rPr>
            </w:pPr>
            <w:r>
              <w:rPr>
                <w:rFonts w:hint="eastAsia" w:ascii="方正仿宋_GBK" w:hAnsi="方正黑体_GBK" w:cs="方正黑体_GBK"/>
                <w:sz w:val="28"/>
              </w:rPr>
              <w:t>2</w:t>
            </w:r>
          </w:p>
        </w:tc>
        <w:tc>
          <w:tcPr>
            <w:tcW w:w="6223" w:type="dxa"/>
            <w:vAlign w:val="center"/>
          </w:tcPr>
          <w:p w14:paraId="50DCB73B">
            <w:pPr>
              <w:snapToGrid w:val="0"/>
              <w:spacing w:line="579" w:lineRule="exact"/>
              <w:jc w:val="left"/>
              <w:rPr>
                <w:rFonts w:ascii="方正仿宋_GBK" w:hAnsi="方正黑体_GBK" w:cs="方正黑体_GBK"/>
                <w:sz w:val="28"/>
              </w:rPr>
            </w:pPr>
            <w:r>
              <w:rPr>
                <w:rFonts w:hint="eastAsia" w:ascii="方正仿宋_GBK" w:hAnsi="方正黑体_GBK" w:cs="方正黑体_GBK"/>
                <w:sz w:val="28"/>
              </w:rPr>
              <w:t>5年累计重特大生产安全事故起数</w:t>
            </w:r>
          </w:p>
        </w:tc>
        <w:tc>
          <w:tcPr>
            <w:tcW w:w="1654" w:type="dxa"/>
            <w:vAlign w:val="center"/>
          </w:tcPr>
          <w:p w14:paraId="10E05E4B">
            <w:pPr>
              <w:snapToGrid w:val="0"/>
              <w:spacing w:line="579" w:lineRule="exact"/>
              <w:jc w:val="center"/>
              <w:rPr>
                <w:rFonts w:ascii="方正仿宋_GBK" w:hAnsi="方正黑体_GBK" w:cs="方正黑体_GBK"/>
                <w:sz w:val="28"/>
              </w:rPr>
            </w:pPr>
            <w:r>
              <w:rPr>
                <w:rFonts w:ascii="方正仿宋_GBK" w:hAnsi="方正黑体_GBK" w:cs="方正黑体_GBK"/>
                <w:sz w:val="28"/>
              </w:rPr>
              <w:t>0</w:t>
            </w:r>
            <w:r>
              <w:rPr>
                <w:rFonts w:hint="eastAsia" w:ascii="方正仿宋_GBK" w:hAnsi="方正黑体_GBK" w:cs="方正黑体_GBK"/>
                <w:sz w:val="28"/>
              </w:rPr>
              <w:t>起</w:t>
            </w:r>
          </w:p>
        </w:tc>
      </w:tr>
      <w:tr w14:paraId="6F688130">
        <w:tblPrEx>
          <w:tblBorders>
            <w:top w:val="single" w:color="000000" w:sz="8" w:space="0"/>
            <w:left w:val="single" w:color="000000" w:sz="8" w:space="0"/>
            <w:bottom w:val="single" w:color="000000" w:sz="8" w:space="0"/>
            <w:right w:val="single" w:color="000000" w:sz="8" w:space="0"/>
            <w:insideH w:val="dotted" w:color="000000" w:sz="4" w:space="0"/>
            <w:insideV w:val="dotted" w:color="000000" w:sz="4" w:space="0"/>
          </w:tblBorders>
          <w:tblCellMar>
            <w:top w:w="0" w:type="dxa"/>
            <w:left w:w="108" w:type="dxa"/>
            <w:bottom w:w="0" w:type="dxa"/>
            <w:right w:w="108" w:type="dxa"/>
          </w:tblCellMar>
        </w:tblPrEx>
        <w:trPr>
          <w:trHeight w:val="590" w:hRule="atLeast"/>
          <w:jc w:val="center"/>
        </w:trPr>
        <w:tc>
          <w:tcPr>
            <w:tcW w:w="792" w:type="dxa"/>
            <w:vAlign w:val="center"/>
          </w:tcPr>
          <w:p w14:paraId="4819EE76">
            <w:pPr>
              <w:snapToGrid w:val="0"/>
              <w:spacing w:line="579" w:lineRule="exact"/>
              <w:jc w:val="center"/>
              <w:rPr>
                <w:rFonts w:ascii="方正仿宋_GBK" w:hAnsi="方正黑体_GBK" w:cs="方正黑体_GBK"/>
                <w:sz w:val="28"/>
              </w:rPr>
            </w:pPr>
            <w:r>
              <w:rPr>
                <w:rFonts w:hint="eastAsia" w:ascii="方正仿宋_GBK" w:hAnsi="方正黑体_GBK" w:cs="方正黑体_GBK"/>
                <w:sz w:val="28"/>
              </w:rPr>
              <w:t>3</w:t>
            </w:r>
          </w:p>
        </w:tc>
        <w:tc>
          <w:tcPr>
            <w:tcW w:w="6223" w:type="dxa"/>
            <w:vAlign w:val="center"/>
          </w:tcPr>
          <w:p w14:paraId="2CE1F836">
            <w:pPr>
              <w:snapToGrid w:val="0"/>
              <w:spacing w:line="579" w:lineRule="exact"/>
              <w:jc w:val="left"/>
              <w:rPr>
                <w:rFonts w:ascii="方正仿宋_GBK" w:hAnsi="方正黑体_GBK" w:cs="方正黑体_GBK"/>
                <w:sz w:val="28"/>
              </w:rPr>
            </w:pPr>
            <w:r>
              <w:rPr>
                <w:rFonts w:hint="eastAsia" w:ascii="方正仿宋_GBK" w:hAnsi="方正黑体_GBK" w:cs="方正黑体_GBK"/>
                <w:sz w:val="28"/>
              </w:rPr>
              <w:t>亿元生产总值生产安全事故死亡率</w:t>
            </w:r>
          </w:p>
        </w:tc>
        <w:tc>
          <w:tcPr>
            <w:tcW w:w="1654" w:type="dxa"/>
            <w:vAlign w:val="center"/>
          </w:tcPr>
          <w:p w14:paraId="0903151E">
            <w:pPr>
              <w:snapToGrid w:val="0"/>
              <w:spacing w:line="579" w:lineRule="exact"/>
              <w:jc w:val="center"/>
              <w:rPr>
                <w:rFonts w:ascii="方正仿宋_GBK" w:hAnsi="方正黑体_GBK" w:cs="方正黑体_GBK"/>
                <w:sz w:val="28"/>
              </w:rPr>
            </w:pPr>
            <w:r>
              <w:rPr>
                <w:rFonts w:hint="eastAsia" w:ascii="方正仿宋_GBK" w:hAnsi="方正黑体_GBK" w:cs="方正黑体_GBK"/>
                <w:sz w:val="28"/>
              </w:rPr>
              <w:t>下降37.5%</w:t>
            </w:r>
          </w:p>
        </w:tc>
      </w:tr>
      <w:tr w14:paraId="26C99779">
        <w:tblPrEx>
          <w:tblBorders>
            <w:top w:val="single" w:color="000000" w:sz="8" w:space="0"/>
            <w:left w:val="single" w:color="000000" w:sz="8" w:space="0"/>
            <w:bottom w:val="single" w:color="000000" w:sz="8" w:space="0"/>
            <w:right w:val="single" w:color="000000" w:sz="8" w:space="0"/>
            <w:insideH w:val="dotted" w:color="000000" w:sz="4" w:space="0"/>
            <w:insideV w:val="dotted" w:color="000000" w:sz="4" w:space="0"/>
          </w:tblBorders>
          <w:tblCellMar>
            <w:top w:w="0" w:type="dxa"/>
            <w:left w:w="108" w:type="dxa"/>
            <w:bottom w:w="0" w:type="dxa"/>
            <w:right w:w="108" w:type="dxa"/>
          </w:tblCellMar>
        </w:tblPrEx>
        <w:trPr>
          <w:trHeight w:val="590" w:hRule="atLeast"/>
          <w:jc w:val="center"/>
        </w:trPr>
        <w:tc>
          <w:tcPr>
            <w:tcW w:w="792" w:type="dxa"/>
            <w:vAlign w:val="center"/>
          </w:tcPr>
          <w:p w14:paraId="21FD054A">
            <w:pPr>
              <w:snapToGrid w:val="0"/>
              <w:spacing w:line="579" w:lineRule="exact"/>
              <w:jc w:val="center"/>
              <w:rPr>
                <w:rFonts w:ascii="方正仿宋_GBK" w:hAnsi="方正黑体_GBK" w:cs="方正黑体_GBK"/>
                <w:sz w:val="28"/>
              </w:rPr>
            </w:pPr>
            <w:r>
              <w:rPr>
                <w:rFonts w:hint="eastAsia" w:ascii="方正仿宋_GBK" w:hAnsi="方正黑体_GBK" w:cs="方正黑体_GBK"/>
                <w:sz w:val="28"/>
              </w:rPr>
              <w:t>4</w:t>
            </w:r>
          </w:p>
        </w:tc>
        <w:tc>
          <w:tcPr>
            <w:tcW w:w="6223" w:type="dxa"/>
            <w:vAlign w:val="center"/>
          </w:tcPr>
          <w:p w14:paraId="462086CF">
            <w:pPr>
              <w:snapToGrid w:val="0"/>
              <w:spacing w:line="579" w:lineRule="exact"/>
              <w:jc w:val="left"/>
              <w:rPr>
                <w:rFonts w:ascii="方正仿宋_GBK" w:hAnsi="方正黑体_GBK" w:cs="方正黑体_GBK"/>
                <w:sz w:val="28"/>
              </w:rPr>
            </w:pPr>
            <w:r>
              <w:rPr>
                <w:rFonts w:hint="eastAsia" w:ascii="方正仿宋_GBK" w:hAnsi="方正黑体_GBK" w:cs="方正黑体_GBK"/>
                <w:sz w:val="28"/>
              </w:rPr>
              <w:t>年均因自然灾害直接经济损失占生产总值的比例</w:t>
            </w:r>
          </w:p>
        </w:tc>
        <w:tc>
          <w:tcPr>
            <w:tcW w:w="1654" w:type="dxa"/>
            <w:vAlign w:val="center"/>
          </w:tcPr>
          <w:p w14:paraId="3FC8A7C1">
            <w:pPr>
              <w:snapToGrid w:val="0"/>
              <w:spacing w:line="579" w:lineRule="exact"/>
              <w:jc w:val="center"/>
              <w:rPr>
                <w:rFonts w:ascii="方正仿宋_GBK" w:hAnsi="方正黑体_GBK" w:cs="方正黑体_GBK"/>
                <w:sz w:val="28"/>
              </w:rPr>
            </w:pPr>
            <w:r>
              <w:rPr>
                <w:rFonts w:hint="eastAsia" w:ascii="方正仿宋_GBK" w:hAnsi="方正黑体_GBK" w:cs="方正黑体_GBK"/>
                <w:sz w:val="28"/>
              </w:rPr>
              <w:t>≤1%</w:t>
            </w:r>
          </w:p>
        </w:tc>
      </w:tr>
      <w:tr w14:paraId="7286B949">
        <w:tblPrEx>
          <w:tblBorders>
            <w:top w:val="single" w:color="000000" w:sz="8" w:space="0"/>
            <w:left w:val="single" w:color="000000" w:sz="8" w:space="0"/>
            <w:bottom w:val="single" w:color="000000" w:sz="8" w:space="0"/>
            <w:right w:val="single" w:color="000000" w:sz="8" w:space="0"/>
            <w:insideH w:val="dotted" w:color="000000" w:sz="4" w:space="0"/>
            <w:insideV w:val="dotted" w:color="000000" w:sz="4" w:space="0"/>
          </w:tblBorders>
          <w:tblCellMar>
            <w:top w:w="0" w:type="dxa"/>
            <w:left w:w="108" w:type="dxa"/>
            <w:bottom w:w="0" w:type="dxa"/>
            <w:right w:w="108" w:type="dxa"/>
          </w:tblCellMar>
        </w:tblPrEx>
        <w:trPr>
          <w:trHeight w:val="590" w:hRule="atLeast"/>
          <w:jc w:val="center"/>
        </w:trPr>
        <w:tc>
          <w:tcPr>
            <w:tcW w:w="792" w:type="dxa"/>
            <w:vAlign w:val="center"/>
          </w:tcPr>
          <w:p w14:paraId="564D3891">
            <w:pPr>
              <w:snapToGrid w:val="0"/>
              <w:spacing w:line="579" w:lineRule="exact"/>
              <w:jc w:val="center"/>
              <w:rPr>
                <w:rFonts w:ascii="方正仿宋_GBK" w:hAnsi="方正黑体_GBK" w:cs="方正黑体_GBK"/>
                <w:sz w:val="28"/>
              </w:rPr>
            </w:pPr>
            <w:r>
              <w:rPr>
                <w:rFonts w:hint="eastAsia" w:ascii="方正仿宋_GBK" w:hAnsi="方正黑体_GBK" w:cs="方正黑体_GBK"/>
                <w:sz w:val="28"/>
              </w:rPr>
              <w:t>5</w:t>
            </w:r>
          </w:p>
        </w:tc>
        <w:tc>
          <w:tcPr>
            <w:tcW w:w="6223" w:type="dxa"/>
            <w:vAlign w:val="center"/>
          </w:tcPr>
          <w:p w14:paraId="0E4FFB6D">
            <w:pPr>
              <w:snapToGrid w:val="0"/>
              <w:spacing w:line="579" w:lineRule="exact"/>
              <w:jc w:val="left"/>
              <w:rPr>
                <w:rFonts w:ascii="方正仿宋_GBK" w:hAnsi="方正黑体_GBK" w:cs="方正黑体_GBK"/>
                <w:sz w:val="28"/>
              </w:rPr>
            </w:pPr>
            <w:r>
              <w:rPr>
                <w:rFonts w:hint="eastAsia" w:ascii="方正仿宋_GBK" w:hAnsi="方正黑体_GBK" w:cs="方正黑体_GBK"/>
                <w:sz w:val="28"/>
              </w:rPr>
              <w:t>年均每百万人口因自然灾害死亡率</w:t>
            </w:r>
          </w:p>
        </w:tc>
        <w:tc>
          <w:tcPr>
            <w:tcW w:w="1654" w:type="dxa"/>
            <w:vAlign w:val="center"/>
          </w:tcPr>
          <w:p w14:paraId="376E9201">
            <w:pPr>
              <w:snapToGrid w:val="0"/>
              <w:spacing w:line="579" w:lineRule="exact"/>
              <w:jc w:val="center"/>
              <w:rPr>
                <w:rFonts w:ascii="方正仿宋_GBK" w:hAnsi="方正黑体_GBK" w:cs="方正黑体_GBK"/>
                <w:sz w:val="28"/>
              </w:rPr>
            </w:pPr>
            <w:r>
              <w:rPr>
                <w:rFonts w:hint="eastAsia" w:ascii="方正仿宋_GBK" w:hAnsi="方正黑体_GBK" w:cs="方正黑体_GBK"/>
                <w:sz w:val="28"/>
              </w:rPr>
              <w:t>≤1%</w:t>
            </w:r>
          </w:p>
        </w:tc>
      </w:tr>
      <w:tr w14:paraId="2FA6FE7C">
        <w:tblPrEx>
          <w:tblBorders>
            <w:top w:val="single" w:color="000000" w:sz="8" w:space="0"/>
            <w:left w:val="single" w:color="000000" w:sz="8" w:space="0"/>
            <w:bottom w:val="single" w:color="000000" w:sz="8" w:space="0"/>
            <w:right w:val="single" w:color="000000" w:sz="8" w:space="0"/>
            <w:insideH w:val="dotted" w:color="000000" w:sz="4" w:space="0"/>
            <w:insideV w:val="dotted" w:color="000000" w:sz="4" w:space="0"/>
          </w:tblBorders>
          <w:tblCellMar>
            <w:top w:w="0" w:type="dxa"/>
            <w:left w:w="108" w:type="dxa"/>
            <w:bottom w:w="0" w:type="dxa"/>
            <w:right w:w="108" w:type="dxa"/>
          </w:tblCellMar>
        </w:tblPrEx>
        <w:trPr>
          <w:trHeight w:val="590" w:hRule="atLeast"/>
          <w:jc w:val="center"/>
        </w:trPr>
        <w:tc>
          <w:tcPr>
            <w:tcW w:w="792" w:type="dxa"/>
            <w:vAlign w:val="center"/>
          </w:tcPr>
          <w:p w14:paraId="26A8328E">
            <w:pPr>
              <w:snapToGrid w:val="0"/>
              <w:spacing w:line="579" w:lineRule="exact"/>
              <w:jc w:val="center"/>
              <w:rPr>
                <w:rFonts w:ascii="方正仿宋_GBK" w:hAnsi="方正黑体_GBK" w:cs="方正黑体_GBK"/>
                <w:sz w:val="28"/>
              </w:rPr>
            </w:pPr>
            <w:r>
              <w:rPr>
                <w:rFonts w:hint="eastAsia" w:ascii="方正仿宋_GBK" w:hAnsi="方正黑体_GBK" w:cs="方正黑体_GBK"/>
                <w:sz w:val="28"/>
              </w:rPr>
              <w:t>6</w:t>
            </w:r>
          </w:p>
        </w:tc>
        <w:tc>
          <w:tcPr>
            <w:tcW w:w="6223" w:type="dxa"/>
            <w:vAlign w:val="center"/>
          </w:tcPr>
          <w:p w14:paraId="7FCC6822">
            <w:pPr>
              <w:snapToGrid w:val="0"/>
              <w:spacing w:line="579" w:lineRule="exact"/>
              <w:jc w:val="left"/>
              <w:rPr>
                <w:rFonts w:ascii="方正仿宋_GBK" w:hAnsi="方正黑体_GBK" w:cs="方正黑体_GBK"/>
                <w:sz w:val="28"/>
              </w:rPr>
            </w:pPr>
            <w:r>
              <w:rPr>
                <w:rFonts w:hint="eastAsia" w:ascii="方正仿宋_GBK" w:hAnsi="方正黑体_GBK" w:cs="方正黑体_GBK"/>
                <w:sz w:val="28"/>
              </w:rPr>
              <w:t>年均每十万人受灾人次</w:t>
            </w:r>
          </w:p>
        </w:tc>
        <w:tc>
          <w:tcPr>
            <w:tcW w:w="1654" w:type="dxa"/>
            <w:vAlign w:val="center"/>
          </w:tcPr>
          <w:p w14:paraId="34E3C310">
            <w:pPr>
              <w:snapToGrid w:val="0"/>
              <w:spacing w:line="579" w:lineRule="exact"/>
              <w:jc w:val="center"/>
              <w:rPr>
                <w:rFonts w:ascii="方正仿宋_GBK" w:hAnsi="方正黑体_GBK" w:cs="方正黑体_GBK"/>
                <w:sz w:val="28"/>
              </w:rPr>
            </w:pPr>
            <w:r>
              <w:rPr>
                <w:rFonts w:hint="eastAsia" w:ascii="方正仿宋_GBK" w:hAnsi="方正黑体_GBK" w:cs="方正黑体_GBK"/>
                <w:sz w:val="28"/>
              </w:rPr>
              <w:t>&lt;15000人</w:t>
            </w:r>
          </w:p>
        </w:tc>
      </w:tr>
    </w:tbl>
    <w:p w14:paraId="622DC1D8">
      <w:pPr>
        <w:pStyle w:val="2"/>
        <w:keepNext/>
        <w:keepLines/>
        <w:spacing w:before="0" w:line="579" w:lineRule="exact"/>
        <w:ind w:left="640" w:leftChars="200"/>
        <w:rPr>
          <w:rFonts w:ascii="方正黑体_GBK" w:hAnsi="Times New Roman" w:eastAsia="方正黑体_GBK"/>
          <w:b w:val="0"/>
          <w:bCs/>
          <w:kern w:val="44"/>
          <w:szCs w:val="44"/>
        </w:rPr>
      </w:pPr>
      <w:bookmarkStart w:id="38" w:name="_Toc75618154"/>
      <w:bookmarkStart w:id="39" w:name="_Toc87275317"/>
      <w:r>
        <w:rPr>
          <w:rFonts w:hint="eastAsia" w:ascii="方正黑体_GBK" w:hAnsi="Times New Roman" w:eastAsia="方正黑体_GBK"/>
          <w:b w:val="0"/>
          <w:bCs/>
          <w:kern w:val="44"/>
          <w:szCs w:val="44"/>
        </w:rPr>
        <w:t>四、主要任务</w:t>
      </w:r>
      <w:bookmarkEnd w:id="38"/>
      <w:bookmarkEnd w:id="39"/>
    </w:p>
    <w:p w14:paraId="34C915D5">
      <w:pPr>
        <w:pStyle w:val="5"/>
        <w:keepNext/>
        <w:keepLines/>
        <w:spacing w:before="0" w:line="579" w:lineRule="exact"/>
        <w:ind w:firstLine="640" w:firstLineChars="200"/>
        <w:rPr>
          <w:rFonts w:ascii="方正楷体_GBK" w:hAnsi="Times New Roman" w:eastAsia="方正楷体_GBK"/>
          <w:b w:val="0"/>
          <w:bCs/>
          <w:sz w:val="32"/>
          <w:szCs w:val="32"/>
        </w:rPr>
      </w:pPr>
      <w:bookmarkStart w:id="40" w:name="_Toc75618155"/>
      <w:bookmarkStart w:id="41" w:name="_Toc87275318"/>
      <w:bookmarkStart w:id="42" w:name="_Toc12200227"/>
      <w:r>
        <w:rPr>
          <w:rFonts w:hint="eastAsia" w:ascii="方正楷体_GBK" w:hAnsi="Times New Roman" w:eastAsia="方正楷体_GBK"/>
          <w:b w:val="0"/>
          <w:bCs/>
          <w:sz w:val="32"/>
          <w:szCs w:val="32"/>
        </w:rPr>
        <w:t>（一）深化应急管理机制体制改革</w:t>
      </w:r>
      <w:bookmarkEnd w:id="40"/>
      <w:bookmarkEnd w:id="41"/>
    </w:p>
    <w:p w14:paraId="77A827D6">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以应急管理工作改革为导向，持续开展技术创新和管理创新，按照我市构建行政管理、组织指挥、应急力量、制度保障“四大体系”要求，进一步深化“统一领导、综合协调、分类管理、分级负责、属地管理为主”的应急管理体制，加强和补充我区应急管理政策工具的出台和研究。</w:t>
      </w:r>
    </w:p>
    <w:p w14:paraId="20EF4CCD">
      <w:pPr>
        <w:pStyle w:val="6"/>
        <w:adjustRightInd w:val="0"/>
        <w:snapToGrid w:val="0"/>
        <w:spacing w:before="0" w:after="0" w:line="579" w:lineRule="exact"/>
        <w:ind w:firstLine="640" w:firstLineChars="200"/>
        <w:rPr>
          <w:rFonts w:ascii="方正仿宋_GBK" w:hAnsi="宋体" w:eastAsia="方正仿宋_GBK"/>
        </w:rPr>
      </w:pPr>
      <w:bookmarkStart w:id="43" w:name="_Toc87275319"/>
      <w:r>
        <w:rPr>
          <w:rFonts w:hint="eastAsia" w:ascii="方正仿宋_GBK" w:hAnsi="宋体" w:eastAsia="方正仿宋_GBK"/>
        </w:rPr>
        <w:t>1.强化组织领导机制</w:t>
      </w:r>
      <w:bookmarkEnd w:id="43"/>
    </w:p>
    <w:p w14:paraId="25F004F8">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加强两江新区党工委管委会对应急管理工作的组织领导，落实“党政同责、一岗双责、齐抓共管、失职追责”的领导干部安全生产责任制，明确党委和政府主要责任人同为应急管理第一责任人，把应急管理工作纳入党委和政府的议事日程。按照“分级负责、属地管理”的原则，层层</w:t>
      </w:r>
      <w:r>
        <w:rPr>
          <w:rFonts w:ascii="方正仿宋_GBK" w:eastAsia="方正仿宋_GBK"/>
          <w:szCs w:val="32"/>
        </w:rPr>
        <w:t>制定党政领导干部安全生产“</w:t>
      </w:r>
      <w:r>
        <w:rPr>
          <w:rFonts w:hint="eastAsia" w:ascii="方正仿宋_GBK" w:eastAsia="方正仿宋_GBK"/>
          <w:szCs w:val="32"/>
        </w:rPr>
        <w:t>职责</w:t>
      </w:r>
      <w:r>
        <w:rPr>
          <w:rFonts w:ascii="方正仿宋_GBK" w:eastAsia="方正仿宋_GBK"/>
          <w:szCs w:val="32"/>
        </w:rPr>
        <w:t>清单”</w:t>
      </w:r>
      <w:r>
        <w:rPr>
          <w:rFonts w:hint="eastAsia" w:ascii="方正仿宋_GBK" w:eastAsia="方正仿宋_GBK"/>
          <w:szCs w:val="32"/>
        </w:rPr>
        <w:t>和</w:t>
      </w:r>
      <w:r>
        <w:rPr>
          <w:rFonts w:ascii="方正仿宋_GBK" w:eastAsia="方正仿宋_GBK"/>
          <w:szCs w:val="32"/>
        </w:rPr>
        <w:t>年度“</w:t>
      </w:r>
      <w:r>
        <w:rPr>
          <w:rFonts w:hint="eastAsia" w:ascii="方正仿宋_GBK" w:eastAsia="方正仿宋_GBK"/>
          <w:szCs w:val="32"/>
        </w:rPr>
        <w:t>工作</w:t>
      </w:r>
      <w:r>
        <w:rPr>
          <w:rFonts w:ascii="方正仿宋_GBK" w:eastAsia="方正仿宋_GBK"/>
          <w:szCs w:val="32"/>
        </w:rPr>
        <w:t>清单”</w:t>
      </w:r>
      <w:r>
        <w:rPr>
          <w:rFonts w:hint="eastAsia" w:ascii="方正仿宋_GBK" w:eastAsia="方正仿宋_GBK"/>
          <w:szCs w:val="32"/>
        </w:rPr>
        <w:t>，把</w:t>
      </w:r>
      <w:r>
        <w:rPr>
          <w:rFonts w:ascii="方正仿宋_GBK" w:eastAsia="方正仿宋_GBK"/>
          <w:szCs w:val="32"/>
        </w:rPr>
        <w:t>安全</w:t>
      </w:r>
      <w:r>
        <w:rPr>
          <w:rFonts w:hint="eastAsia" w:ascii="方正仿宋_GBK" w:eastAsia="方正仿宋_GBK"/>
          <w:szCs w:val="32"/>
        </w:rPr>
        <w:t>发展</w:t>
      </w:r>
      <w:r>
        <w:rPr>
          <w:rFonts w:ascii="方正仿宋_GBK" w:eastAsia="方正仿宋_GBK"/>
          <w:szCs w:val="32"/>
        </w:rPr>
        <w:t>纳入</w:t>
      </w:r>
      <w:r>
        <w:rPr>
          <w:rFonts w:hint="eastAsia" w:ascii="方正仿宋_GBK" w:eastAsia="方正仿宋_GBK"/>
          <w:szCs w:val="32"/>
        </w:rPr>
        <w:t>高质量</w:t>
      </w:r>
      <w:r>
        <w:rPr>
          <w:rFonts w:ascii="方正仿宋_GBK" w:eastAsia="方正仿宋_GBK"/>
          <w:szCs w:val="32"/>
        </w:rPr>
        <w:t>发展评价体系</w:t>
      </w:r>
      <w:r>
        <w:rPr>
          <w:rFonts w:hint="eastAsia" w:ascii="方正仿宋_GBK" w:eastAsia="方正仿宋_GBK"/>
          <w:szCs w:val="32"/>
        </w:rPr>
        <w:t>，将应急管理体系和能力建设纳入党政领导干部政绩考核内容。构建由应急管理指挥机构统领，各部门密切配合，当地军事机关有效参与，统一指挥、分类处置、分级负责和专家支撑有机衔接的应急指挥体系。</w:t>
      </w:r>
    </w:p>
    <w:p w14:paraId="33422A15">
      <w:pPr>
        <w:pStyle w:val="6"/>
        <w:adjustRightInd w:val="0"/>
        <w:snapToGrid w:val="0"/>
        <w:spacing w:before="0" w:after="0" w:line="579" w:lineRule="exact"/>
        <w:ind w:firstLine="640" w:firstLineChars="200"/>
        <w:rPr>
          <w:rFonts w:ascii="方正仿宋_GBK" w:hAnsi="宋体" w:eastAsia="方正仿宋_GBK"/>
        </w:rPr>
      </w:pPr>
      <w:bookmarkStart w:id="44" w:name="_Toc87275320"/>
      <w:r>
        <w:rPr>
          <w:rFonts w:hint="eastAsia" w:ascii="方正仿宋_GBK" w:hAnsi="宋体" w:eastAsia="方正仿宋_GBK"/>
        </w:rPr>
        <w:t>2.强化行政管理体系</w:t>
      </w:r>
      <w:bookmarkEnd w:id="44"/>
    </w:p>
    <w:p w14:paraId="6E82D43D">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围绕</w:t>
      </w:r>
      <w:r>
        <w:rPr>
          <w:rFonts w:ascii="方正仿宋_GBK" w:eastAsia="方正仿宋_GBK"/>
          <w:szCs w:val="32"/>
        </w:rPr>
        <w:t>应急管理部门统筹协调、行业管理部门组织指导、地方政府属地管理，健全“三级体系、五级网络”行政管理</w:t>
      </w:r>
      <w:r>
        <w:rPr>
          <w:rFonts w:hint="eastAsia" w:ascii="方正仿宋_GBK" w:eastAsia="方正仿宋_GBK"/>
          <w:szCs w:val="32"/>
        </w:rPr>
        <w:t>体系建设。</w:t>
      </w:r>
    </w:p>
    <w:p w14:paraId="035ADAC0">
      <w:pPr>
        <w:pStyle w:val="6"/>
        <w:adjustRightInd w:val="0"/>
        <w:snapToGrid w:val="0"/>
        <w:spacing w:before="0" w:after="0" w:line="579" w:lineRule="exact"/>
        <w:ind w:firstLine="640" w:firstLineChars="200"/>
        <w:rPr>
          <w:rFonts w:ascii="方正仿宋_GBK" w:hAnsi="宋体" w:eastAsia="方正仿宋_GBK"/>
        </w:rPr>
      </w:pPr>
      <w:bookmarkStart w:id="45" w:name="_Toc87275321"/>
      <w:r>
        <w:rPr>
          <w:rFonts w:ascii="方正仿宋_GBK" w:hAnsi="宋体" w:eastAsia="方正仿宋_GBK"/>
        </w:rPr>
        <w:t>3</w:t>
      </w:r>
      <w:r>
        <w:rPr>
          <w:rFonts w:hint="eastAsia" w:ascii="方正仿宋_GBK" w:hAnsi="宋体" w:eastAsia="方正仿宋_GBK"/>
        </w:rPr>
        <w:t>.强化统筹联动机制</w:t>
      </w:r>
      <w:bookmarkEnd w:id="45"/>
    </w:p>
    <w:p w14:paraId="45FE467E">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健全应急委、安委会、减灾委“三委”、安全生产专项办公室以及各专项指挥部职能</w:t>
      </w:r>
      <w:r>
        <w:rPr>
          <w:rFonts w:hint="eastAsia" w:ascii="方正仿宋_GBK" w:hAnsi="方正仿宋_GBK" w:cs="方正仿宋_GBK"/>
          <w:szCs w:val="32"/>
        </w:rPr>
        <w:t>，</w:t>
      </w:r>
      <w:r>
        <w:rPr>
          <w:rFonts w:hint="eastAsia" w:ascii="方正仿宋_GBK" w:eastAsia="方正仿宋_GBK"/>
          <w:szCs w:val="32"/>
        </w:rPr>
        <w:t>进一步明确各部门平时政务协同职责和战时应急响应职责。健全联合值守和信息报送机制。完善军地联动机制，健全驻渝解放军、武警部队参与抢险救灾的程序办法和协同关系，提高联动指挥和救援保障效能。</w:t>
      </w:r>
    </w:p>
    <w:p w14:paraId="7594ED4F">
      <w:pPr>
        <w:pStyle w:val="6"/>
        <w:adjustRightInd w:val="0"/>
        <w:snapToGrid w:val="0"/>
        <w:spacing w:before="0" w:after="0" w:line="579" w:lineRule="exact"/>
        <w:ind w:firstLine="640" w:firstLineChars="200"/>
        <w:rPr>
          <w:rFonts w:ascii="方正仿宋_GBK" w:hAnsi="宋体" w:eastAsia="方正仿宋_GBK"/>
        </w:rPr>
      </w:pPr>
      <w:bookmarkStart w:id="46" w:name="_Toc87275322"/>
      <w:r>
        <w:rPr>
          <w:rFonts w:ascii="方正仿宋_GBK" w:hAnsi="宋体" w:eastAsia="方正仿宋_GBK"/>
        </w:rPr>
        <w:t>4</w:t>
      </w:r>
      <w:r>
        <w:rPr>
          <w:rFonts w:hint="eastAsia" w:ascii="方正仿宋_GBK" w:hAnsi="宋体" w:eastAsia="方正仿宋_GBK"/>
        </w:rPr>
        <w:t>.完善基层应急体系</w:t>
      </w:r>
      <w:bookmarkEnd w:id="46"/>
    </w:p>
    <w:p w14:paraId="746B6C11">
      <w:pPr>
        <w:pStyle w:val="20"/>
        <w:spacing w:after="0" w:line="579" w:lineRule="exact"/>
        <w:ind w:firstLine="640" w:firstLineChars="200"/>
        <w:rPr>
          <w:rFonts w:ascii="方正仿宋_GBK" w:eastAsia="方正仿宋_GBK"/>
          <w:szCs w:val="32"/>
        </w:rPr>
      </w:pPr>
      <w:r>
        <w:rPr>
          <w:rFonts w:ascii="方正仿宋_GBK" w:eastAsia="方正仿宋_GBK"/>
          <w:szCs w:val="32"/>
        </w:rPr>
        <w:t>开展基层应急管理机构规范化建设</w:t>
      </w:r>
      <w:r>
        <w:rPr>
          <w:rFonts w:hint="eastAsia" w:ascii="方正仿宋_GBK" w:eastAsia="方正仿宋_GBK"/>
          <w:szCs w:val="32"/>
        </w:rPr>
        <w:t>，</w:t>
      </w:r>
      <w:r>
        <w:rPr>
          <w:rFonts w:ascii="方正仿宋_GBK" w:eastAsia="方正仿宋_GBK"/>
          <w:szCs w:val="32"/>
        </w:rPr>
        <w:t>完善基层应急管理机构设置</w:t>
      </w:r>
      <w:r>
        <w:rPr>
          <w:rFonts w:hint="eastAsia" w:ascii="方正仿宋_GBK" w:eastAsia="方正仿宋_GBK"/>
          <w:szCs w:val="32"/>
        </w:rPr>
        <w:t>。</w:t>
      </w:r>
      <w:r>
        <w:rPr>
          <w:rFonts w:ascii="方正仿宋_GBK" w:eastAsia="方正仿宋_GBK"/>
          <w:szCs w:val="32"/>
        </w:rPr>
        <w:t>改善</w:t>
      </w:r>
      <w:r>
        <w:rPr>
          <w:rFonts w:hint="eastAsia" w:ascii="方正仿宋_GBK" w:eastAsia="方正仿宋_GBK"/>
          <w:szCs w:val="32"/>
        </w:rPr>
        <w:t>基层应急指挥场所，完善基层应急</w:t>
      </w:r>
      <w:r>
        <w:rPr>
          <w:rFonts w:ascii="方正仿宋_GBK" w:eastAsia="方正仿宋_GBK"/>
          <w:szCs w:val="32"/>
        </w:rPr>
        <w:t>装备</w:t>
      </w:r>
      <w:r>
        <w:rPr>
          <w:rFonts w:hint="eastAsia" w:ascii="方正仿宋_GBK" w:eastAsia="方正仿宋_GBK"/>
          <w:szCs w:val="32"/>
        </w:rPr>
        <w:t>和应急物资配备。</w:t>
      </w:r>
      <w:r>
        <w:rPr>
          <w:rFonts w:ascii="方正仿宋_GBK" w:eastAsia="方正仿宋_GBK"/>
          <w:szCs w:val="32"/>
        </w:rPr>
        <w:t>推动社区应急服务站</w:t>
      </w:r>
      <w:r>
        <w:rPr>
          <w:rFonts w:hint="eastAsia" w:ascii="方正仿宋_GBK" w:eastAsia="方正仿宋_GBK"/>
          <w:szCs w:val="32"/>
        </w:rPr>
        <w:t>建设。梳理</w:t>
      </w:r>
      <w:r>
        <w:rPr>
          <w:rFonts w:ascii="方正仿宋_GBK" w:eastAsia="方正仿宋_GBK"/>
          <w:szCs w:val="32"/>
        </w:rPr>
        <w:t>基层网格员资源，明确应急管理网格内容</w:t>
      </w:r>
      <w:r>
        <w:rPr>
          <w:rFonts w:hint="eastAsia" w:ascii="方正仿宋_GBK" w:eastAsia="方正仿宋_GBK"/>
          <w:szCs w:val="32"/>
        </w:rPr>
        <w:t>。明确基层应急专业人员配置</w:t>
      </w:r>
      <w:r>
        <w:rPr>
          <w:rFonts w:hint="eastAsia"/>
          <w:szCs w:val="32"/>
        </w:rPr>
        <w:t>，</w:t>
      </w:r>
      <w:r>
        <w:rPr>
          <w:rFonts w:hint="eastAsia" w:ascii="方正仿宋_GBK" w:eastAsia="方正仿宋_GBK"/>
          <w:szCs w:val="32"/>
        </w:rPr>
        <w:t>加强专业能力培训，提升人员福利水平。</w:t>
      </w:r>
    </w:p>
    <w:p w14:paraId="39B2BDD8">
      <w:pPr>
        <w:pStyle w:val="6"/>
        <w:adjustRightInd w:val="0"/>
        <w:snapToGrid w:val="0"/>
        <w:spacing w:before="0" w:after="0" w:line="579" w:lineRule="exact"/>
        <w:ind w:firstLine="640" w:firstLineChars="200"/>
        <w:rPr>
          <w:rFonts w:ascii="方正仿宋_GBK" w:hAnsi="宋体" w:eastAsia="方正仿宋_GBK"/>
        </w:rPr>
      </w:pPr>
      <w:bookmarkStart w:id="47" w:name="_Toc87275323"/>
      <w:r>
        <w:rPr>
          <w:rFonts w:ascii="方正仿宋_GBK" w:hAnsi="宋体" w:eastAsia="方正仿宋_GBK"/>
        </w:rPr>
        <w:t>5</w:t>
      </w:r>
      <w:r>
        <w:rPr>
          <w:rFonts w:hint="eastAsia" w:ascii="方正仿宋_GBK" w:hAnsi="宋体" w:eastAsia="方正仿宋_GBK"/>
        </w:rPr>
        <w:t>.强化属地管理责任</w:t>
      </w:r>
      <w:bookmarkEnd w:id="47"/>
    </w:p>
    <w:p w14:paraId="4F72457D">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坚持属地管理原则，进一步健全事故灾害分级响应机制，完善鱼复、水土、龙兴“三大新城”及基层安全监管机制，推进三大新城</w:t>
      </w:r>
      <w:r>
        <w:rPr>
          <w:rFonts w:ascii="方正仿宋_GBK" w:eastAsia="方正仿宋_GBK"/>
          <w:szCs w:val="32"/>
        </w:rPr>
        <w:t>安全监管机构</w:t>
      </w:r>
      <w:r>
        <w:rPr>
          <w:rFonts w:hint="eastAsia" w:ascii="方正仿宋_GBK" w:eastAsia="方正仿宋_GBK"/>
          <w:szCs w:val="32"/>
        </w:rPr>
        <w:t>建设。</w:t>
      </w:r>
    </w:p>
    <w:p w14:paraId="08C318FC">
      <w:pPr>
        <w:pStyle w:val="6"/>
        <w:adjustRightInd w:val="0"/>
        <w:snapToGrid w:val="0"/>
        <w:spacing w:before="0" w:after="0" w:line="579" w:lineRule="exact"/>
        <w:ind w:firstLine="640" w:firstLineChars="200"/>
        <w:rPr>
          <w:rFonts w:ascii="方正仿宋_GBK" w:hAnsi="宋体" w:eastAsia="方正仿宋_GBK"/>
        </w:rPr>
      </w:pPr>
      <w:bookmarkStart w:id="48" w:name="_Toc87275324"/>
      <w:r>
        <w:rPr>
          <w:rFonts w:ascii="方正仿宋_GBK" w:hAnsi="宋体" w:eastAsia="方正仿宋_GBK"/>
        </w:rPr>
        <w:t>6</w:t>
      </w:r>
      <w:r>
        <w:rPr>
          <w:rFonts w:hint="eastAsia" w:ascii="方正仿宋_GBK" w:hAnsi="宋体" w:eastAsia="方正仿宋_GBK"/>
        </w:rPr>
        <w:t>.强化行业监管责任</w:t>
      </w:r>
      <w:bookmarkEnd w:id="48"/>
    </w:p>
    <w:p w14:paraId="33F8B528">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发挥应急管理部门的综合优势和行业主管部门的专业优势，建立应急管理部门统筹、行业主管部门配合的跨部门、跨层级、跨平台的应急协同联动机制，确保应急责任无缝对接。按照“三必须”要求，制定应急管理部门和行业主管部门安全生产和自然灾害防治责任清单。</w:t>
      </w:r>
    </w:p>
    <w:p w14:paraId="7CB941A7">
      <w:pPr>
        <w:pStyle w:val="6"/>
        <w:adjustRightInd w:val="0"/>
        <w:snapToGrid w:val="0"/>
        <w:spacing w:before="0" w:after="0" w:line="579" w:lineRule="exact"/>
        <w:ind w:firstLine="640" w:firstLineChars="200"/>
        <w:rPr>
          <w:rFonts w:ascii="方正仿宋_GBK" w:hAnsi="宋体" w:eastAsia="方正仿宋_GBK"/>
        </w:rPr>
      </w:pPr>
      <w:bookmarkStart w:id="49" w:name="_Toc87275325"/>
      <w:r>
        <w:rPr>
          <w:rFonts w:ascii="方正仿宋_GBK" w:hAnsi="宋体" w:eastAsia="方正仿宋_GBK"/>
        </w:rPr>
        <w:t>7</w:t>
      </w:r>
      <w:r>
        <w:rPr>
          <w:rFonts w:hint="eastAsia" w:ascii="方正仿宋_GBK" w:hAnsi="宋体" w:eastAsia="方正仿宋_GBK"/>
        </w:rPr>
        <w:t>.压实企业主体责任</w:t>
      </w:r>
      <w:bookmarkEnd w:id="49"/>
    </w:p>
    <w:p w14:paraId="5B64972F">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强化企业法人、实际控制人、安全主管等人员的安全责任，落实“总工程师”制度，强化安全资金投入保障，实施安全第三方保险责任制，监督企业加强安全生产风险管理，开展企业安全生产培训，协助企业安全生产隐患排查和危险辨识，完善企业安全生产信用评价体系和投诉举报机制。</w:t>
      </w:r>
    </w:p>
    <w:p w14:paraId="2CD0C2D1">
      <w:pPr>
        <w:pStyle w:val="6"/>
        <w:adjustRightInd w:val="0"/>
        <w:snapToGrid w:val="0"/>
        <w:spacing w:before="0" w:after="0" w:line="579" w:lineRule="exact"/>
        <w:ind w:firstLine="640" w:firstLineChars="200"/>
        <w:rPr>
          <w:rFonts w:ascii="方正仿宋_GBK" w:hAnsi="宋体" w:eastAsia="方正仿宋_GBK"/>
        </w:rPr>
      </w:pPr>
      <w:bookmarkStart w:id="50" w:name="_Toc87275326"/>
      <w:r>
        <w:rPr>
          <w:rFonts w:ascii="方正仿宋_GBK" w:hAnsi="宋体" w:eastAsia="方正仿宋_GBK"/>
        </w:rPr>
        <w:t>8</w:t>
      </w:r>
      <w:r>
        <w:rPr>
          <w:rFonts w:hint="eastAsia" w:ascii="方正仿宋_GBK" w:hAnsi="宋体" w:eastAsia="方正仿宋_GBK"/>
        </w:rPr>
        <w:t>.完善制度保障机制</w:t>
      </w:r>
      <w:bookmarkEnd w:id="50"/>
    </w:p>
    <w:p w14:paraId="6BE17786">
      <w:pPr>
        <w:pStyle w:val="20"/>
        <w:spacing w:after="0" w:line="579" w:lineRule="exact"/>
        <w:ind w:firstLine="640" w:firstLineChars="200"/>
        <w:rPr>
          <w:rFonts w:ascii="方正仿宋_GBK" w:eastAsia="方正仿宋_GBK"/>
          <w:szCs w:val="32"/>
        </w:rPr>
      </w:pPr>
      <w:r>
        <w:rPr>
          <w:rFonts w:ascii="方正仿宋_GBK" w:eastAsia="方正仿宋_GBK"/>
          <w:szCs w:val="32"/>
        </w:rPr>
        <w:t>推进应急管理相关</w:t>
      </w:r>
      <w:r>
        <w:rPr>
          <w:rFonts w:hint="eastAsia" w:ascii="方正仿宋_GBK" w:eastAsia="方正仿宋_GBK"/>
          <w:szCs w:val="32"/>
        </w:rPr>
        <w:t>法规、制度的有效实施、加强地方应急管理相关标准规范的编制和修订。完善加强应急培训演练、文化宣传、基层应急体系规范化建设，努力推动出台</w:t>
      </w:r>
      <w:r>
        <w:rPr>
          <w:rFonts w:ascii="方正仿宋_GBK" w:eastAsia="方正仿宋_GBK"/>
          <w:szCs w:val="32"/>
        </w:rPr>
        <w:t>7</w:t>
      </w:r>
      <w:r>
        <w:rPr>
          <w:rFonts w:hint="eastAsia" w:ascii="方正仿宋_GBK" w:eastAsia="方正仿宋_GBK"/>
          <w:szCs w:val="32"/>
        </w:rPr>
        <w:t>*</w:t>
      </w:r>
      <w:r>
        <w:rPr>
          <w:rFonts w:ascii="方正仿宋_GBK" w:eastAsia="方正仿宋_GBK"/>
          <w:szCs w:val="32"/>
        </w:rPr>
        <w:t>24</w:t>
      </w:r>
      <w:r>
        <w:rPr>
          <w:rFonts w:hint="eastAsia" w:ascii="方正仿宋_GBK" w:eastAsia="方正仿宋_GBK"/>
          <w:szCs w:val="32"/>
        </w:rPr>
        <w:t>小时应急值守人员津贴制度等应急资金保障机制建设。</w:t>
      </w:r>
    </w:p>
    <w:p w14:paraId="55A853B2">
      <w:pPr>
        <w:pStyle w:val="6"/>
        <w:adjustRightInd w:val="0"/>
        <w:snapToGrid w:val="0"/>
        <w:spacing w:before="0" w:after="0" w:line="579" w:lineRule="exact"/>
        <w:ind w:firstLine="640" w:firstLineChars="200"/>
        <w:rPr>
          <w:rFonts w:ascii="方正仿宋_GBK" w:hAnsi="宋体" w:eastAsia="方正仿宋_GBK"/>
        </w:rPr>
      </w:pPr>
      <w:bookmarkStart w:id="51" w:name="_Toc87275327"/>
      <w:r>
        <w:rPr>
          <w:rFonts w:ascii="方正仿宋_GBK" w:hAnsi="宋体" w:eastAsia="方正仿宋_GBK"/>
        </w:rPr>
        <w:t>9</w:t>
      </w:r>
      <w:r>
        <w:rPr>
          <w:rFonts w:hint="eastAsia" w:ascii="方正仿宋_GBK" w:hAnsi="宋体" w:eastAsia="方正仿宋_GBK"/>
        </w:rPr>
        <w:t>.完善行政执法机制</w:t>
      </w:r>
      <w:bookmarkEnd w:id="51"/>
    </w:p>
    <w:p w14:paraId="2F4E95F0">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加大应急管理领域法律法规的宣传普及活动。梳理各项</w:t>
      </w:r>
      <w:r>
        <w:rPr>
          <w:rFonts w:ascii="方正仿宋_GBK" w:eastAsia="方正仿宋_GBK"/>
          <w:szCs w:val="32"/>
        </w:rPr>
        <w:t>行政处罚、行政强制</w:t>
      </w:r>
      <w:r>
        <w:rPr>
          <w:rFonts w:hint="eastAsia" w:ascii="方正仿宋_GBK" w:eastAsia="方正仿宋_GBK"/>
          <w:szCs w:val="32"/>
        </w:rPr>
        <w:t>等</w:t>
      </w:r>
      <w:r>
        <w:rPr>
          <w:rFonts w:ascii="方正仿宋_GBK" w:eastAsia="方正仿宋_GBK"/>
          <w:szCs w:val="32"/>
        </w:rPr>
        <w:t>职能</w:t>
      </w:r>
      <w:r>
        <w:rPr>
          <w:rFonts w:hint="eastAsia" w:ascii="方正仿宋_GBK" w:eastAsia="方正仿宋_GBK"/>
          <w:szCs w:val="32"/>
        </w:rPr>
        <w:t>，建立</w:t>
      </w:r>
      <w:r>
        <w:rPr>
          <w:rFonts w:ascii="方正仿宋_GBK" w:eastAsia="方正仿宋_GBK"/>
          <w:szCs w:val="32"/>
        </w:rPr>
        <w:t>应急管理综合行政执法队伍</w:t>
      </w:r>
      <w:r>
        <w:rPr>
          <w:rFonts w:hint="eastAsia" w:ascii="方正仿宋_GBK" w:eastAsia="方正仿宋_GBK"/>
          <w:szCs w:val="32"/>
        </w:rPr>
        <w:t>，</w:t>
      </w:r>
      <w:r>
        <w:rPr>
          <w:rFonts w:ascii="方正仿宋_GBK" w:eastAsia="方正仿宋_GBK"/>
          <w:szCs w:val="32"/>
        </w:rPr>
        <w:t>厘清管辖执法权限，实施精准执法</w:t>
      </w:r>
      <w:r>
        <w:rPr>
          <w:rFonts w:hint="eastAsia" w:ascii="方正仿宋_GBK" w:eastAsia="方正仿宋_GBK"/>
          <w:szCs w:val="32"/>
        </w:rPr>
        <w:t>。</w:t>
      </w:r>
      <w:r>
        <w:rPr>
          <w:rFonts w:ascii="方正仿宋_GBK" w:eastAsia="方正仿宋_GBK"/>
          <w:szCs w:val="32"/>
        </w:rPr>
        <w:t>统一执法装备、制式服装、标志和执法用车配备</w:t>
      </w:r>
      <w:r>
        <w:rPr>
          <w:rFonts w:hint="eastAsia" w:ascii="方正仿宋_GBK" w:eastAsia="方正仿宋_GBK"/>
          <w:szCs w:val="32"/>
        </w:rPr>
        <w:t>。完善现场执法、远程检查相配合的执法体系建设。</w:t>
      </w:r>
    </w:p>
    <w:p w14:paraId="3EFE157D">
      <w:pPr>
        <w:pStyle w:val="6"/>
        <w:adjustRightInd w:val="0"/>
        <w:snapToGrid w:val="0"/>
        <w:spacing w:before="0" w:after="0" w:line="579" w:lineRule="exact"/>
        <w:ind w:firstLine="640" w:firstLineChars="200"/>
        <w:rPr>
          <w:rFonts w:ascii="方正仿宋_GBK" w:hAnsi="宋体" w:eastAsia="方正仿宋_GBK"/>
        </w:rPr>
      </w:pPr>
      <w:bookmarkStart w:id="52" w:name="_Toc87275328"/>
      <w:r>
        <w:rPr>
          <w:rFonts w:hint="eastAsia" w:ascii="方正仿宋_GBK" w:hAnsi="宋体" w:eastAsia="方正仿宋_GBK"/>
        </w:rPr>
        <w:t>10.完善目标考核和责任追究</w:t>
      </w:r>
      <w:bookmarkEnd w:id="52"/>
    </w:p>
    <w:p w14:paraId="22C75CBB">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将应急管理责任考核纳入政府政务工作统一考核指标体系，严格安全生产“一票否决”制度，严格灾害事故直报制度，对瞒报、谎报、漏报、迟报的单位和个人依法依规追责。</w:t>
      </w:r>
    </w:p>
    <w:p w14:paraId="3C58C7E1">
      <w:pPr>
        <w:pStyle w:val="5"/>
        <w:keepNext/>
        <w:keepLines/>
        <w:spacing w:before="0" w:line="579" w:lineRule="exact"/>
        <w:ind w:firstLine="640" w:firstLineChars="200"/>
        <w:rPr>
          <w:rFonts w:ascii="方正楷体_GBK" w:hAnsi="Times New Roman" w:eastAsia="方正楷体_GBK"/>
          <w:b w:val="0"/>
          <w:bCs/>
          <w:sz w:val="32"/>
          <w:szCs w:val="32"/>
        </w:rPr>
      </w:pPr>
      <w:bookmarkStart w:id="53" w:name="_Toc75618156"/>
      <w:bookmarkStart w:id="54" w:name="_Toc87275329"/>
      <w:r>
        <w:rPr>
          <w:rFonts w:hint="eastAsia" w:ascii="方正楷体_GBK" w:hAnsi="Times New Roman" w:eastAsia="方正楷体_GBK"/>
          <w:b w:val="0"/>
          <w:bCs/>
          <w:sz w:val="32"/>
          <w:szCs w:val="32"/>
        </w:rPr>
        <w:t>（二）继续强化风险预防治理能力建设</w:t>
      </w:r>
      <w:bookmarkEnd w:id="53"/>
      <w:bookmarkEnd w:id="54"/>
    </w:p>
    <w:p w14:paraId="38243B6D">
      <w:pPr>
        <w:pStyle w:val="6"/>
        <w:adjustRightInd w:val="0"/>
        <w:snapToGrid w:val="0"/>
        <w:spacing w:before="0" w:after="0" w:line="579" w:lineRule="exact"/>
        <w:ind w:firstLine="640" w:firstLineChars="200"/>
        <w:rPr>
          <w:rFonts w:ascii="方正仿宋_GBK" w:hAnsi="宋体" w:eastAsia="方正仿宋_GBK"/>
        </w:rPr>
      </w:pPr>
      <w:bookmarkStart w:id="55" w:name="_Toc87275330"/>
      <w:r>
        <w:rPr>
          <w:rFonts w:hint="eastAsia" w:ascii="方正仿宋_GBK" w:hAnsi="宋体" w:eastAsia="方正仿宋_GBK"/>
        </w:rPr>
        <w:t>1.加强风险监测预警能力</w:t>
      </w:r>
      <w:bookmarkEnd w:id="55"/>
    </w:p>
    <w:p w14:paraId="35A03FC8">
      <w:pPr>
        <w:pStyle w:val="4"/>
        <w:spacing w:line="579" w:lineRule="exact"/>
        <w:ind w:firstLine="640"/>
        <w:rPr>
          <w:rFonts w:ascii="方正仿宋_GBK" w:eastAsia="方正仿宋_GBK"/>
          <w:szCs w:val="32"/>
        </w:rPr>
      </w:pPr>
      <w:r>
        <w:rPr>
          <w:rFonts w:hint="eastAsia" w:ascii="方正仿宋_GBK" w:eastAsia="方正仿宋_GBK"/>
          <w:szCs w:val="32"/>
        </w:rPr>
        <w:t>——加强风险感知网络建设及行业部门感知网络接入，推进危险化学品重大危险源和烟花爆竹感知数据接入，促进安全生产风险监测预警平台应用。加强自然灾害感知网络建设，建立全方位、立体化、无盲区的动态监测网络，推进森林火险火情、地震、地质、水旱和气象等自然灾害感知数据接入，促进自然灾害综合风险监测预警平台应用。加强城市安全感知网络建设，推动相关部门（住建、城管、交通、公安、电力、能源等）建设城市大型建筑、大型公共设施、地下管网及综合管廊、公共空间、轨道交通、消防重点单位、重大活动保障等感知网络建设和城市安全感知数据接入，促进城市运行安全监测平台应用。到2</w:t>
      </w:r>
      <w:r>
        <w:rPr>
          <w:rFonts w:ascii="方正仿宋_GBK" w:eastAsia="方正仿宋_GBK"/>
          <w:szCs w:val="32"/>
        </w:rPr>
        <w:t>025</w:t>
      </w:r>
      <w:r>
        <w:rPr>
          <w:rFonts w:hint="eastAsia" w:ascii="方正仿宋_GBK" w:eastAsia="方正仿宋_GBK"/>
          <w:szCs w:val="32"/>
        </w:rPr>
        <w:t>年，实现我区全行业安全生产和自然灾害风险感知网络及感知数据1</w:t>
      </w:r>
      <w:r>
        <w:rPr>
          <w:rFonts w:ascii="方正仿宋_GBK" w:eastAsia="方正仿宋_GBK"/>
          <w:szCs w:val="32"/>
        </w:rPr>
        <w:t>00</w:t>
      </w:r>
      <w:r>
        <w:rPr>
          <w:rFonts w:hint="eastAsia" w:ascii="方正仿宋_GBK" w:eastAsia="方正仿宋_GBK"/>
          <w:szCs w:val="32"/>
        </w:rPr>
        <w:t>%接入。</w:t>
      </w:r>
    </w:p>
    <w:p w14:paraId="53762190">
      <w:pPr>
        <w:pStyle w:val="4"/>
        <w:spacing w:line="579" w:lineRule="exact"/>
        <w:ind w:firstLine="640"/>
        <w:rPr>
          <w:rFonts w:ascii="方正仿宋_GBK" w:eastAsia="方正仿宋_GBK"/>
          <w:szCs w:val="32"/>
        </w:rPr>
      </w:pPr>
      <w:r>
        <w:rPr>
          <w:rFonts w:hint="eastAsia" w:ascii="方正仿宋_GBK" w:eastAsia="方正仿宋_GBK"/>
          <w:szCs w:val="32"/>
        </w:rPr>
        <w:t>——强化风险和隐患信息动态监测。加强监测预警基础设施建设，优化完善地震、地质、气象、洪旱、森林等自然灾害监测网站点布局，逐步完善空、天、地一体化全域覆盖的灾害监测网络。在重点行业企业推行安全生产在线监测监控系统，探索建立企业主体、政府监管、第三方服务的安全风险监测防控机制，实现风险精准化管控治理。</w:t>
      </w:r>
    </w:p>
    <w:p w14:paraId="4B5F9403">
      <w:pPr>
        <w:pStyle w:val="4"/>
        <w:spacing w:line="579" w:lineRule="exact"/>
        <w:ind w:firstLine="640"/>
        <w:rPr>
          <w:rFonts w:ascii="方正仿宋_GBK" w:eastAsia="方正仿宋_GBK"/>
          <w:szCs w:val="32"/>
        </w:rPr>
      </w:pPr>
      <w:r>
        <w:rPr>
          <w:rFonts w:hint="eastAsia" w:ascii="方正仿宋_GBK" w:eastAsia="方正仿宋_GBK"/>
          <w:szCs w:val="32"/>
        </w:rPr>
        <w:t>——完善事故灾害预警和信息发布。提升预警信息发布时效性、精准度和覆盖面，提高对特定区域、特定人群的精准发布能力。地质灾害群测群防监测预警覆盖率达</w:t>
      </w:r>
      <w:r>
        <w:rPr>
          <w:rFonts w:ascii="方正仿宋_GBK" w:eastAsia="方正仿宋_GBK"/>
          <w:szCs w:val="32"/>
        </w:rPr>
        <w:t>95</w:t>
      </w:r>
      <w:r>
        <w:rPr>
          <w:rFonts w:hint="eastAsia" w:ascii="方正仿宋_GBK" w:eastAsia="方正仿宋_GBK"/>
          <w:szCs w:val="32"/>
        </w:rPr>
        <w:t>%以上，突发气象灾害监测率达到92%以上，大江大河短期水文预报准确达到95%以上，中小河流短期水文预报准确率达到85%以上，强对流天气预警时间提前40分钟，24小时晴雨和暴雨预报准确率分别提高3%以上。推动气象、地震、水利、自然资源、林业、公安、工信、住建、交通运输、文化旅游等涉灾部门制定相关灾害事件预防和应急处置风险分析研判机制，健全事故灾害信息资源获取和共享机制。</w:t>
      </w:r>
    </w:p>
    <w:p w14:paraId="06390651">
      <w:pPr>
        <w:pStyle w:val="6"/>
        <w:adjustRightInd w:val="0"/>
        <w:snapToGrid w:val="0"/>
        <w:spacing w:before="0" w:after="0" w:line="579" w:lineRule="exact"/>
        <w:ind w:firstLine="640" w:firstLineChars="200"/>
        <w:rPr>
          <w:rFonts w:ascii="方正仿宋_GBK" w:hAnsi="宋体" w:eastAsia="方正仿宋_GBK"/>
        </w:rPr>
      </w:pPr>
      <w:bookmarkStart w:id="56" w:name="_Toc87275331"/>
      <w:r>
        <w:rPr>
          <w:rFonts w:ascii="方正仿宋_GBK" w:hAnsi="宋体" w:eastAsia="方正仿宋_GBK"/>
        </w:rPr>
        <w:t>2</w:t>
      </w:r>
      <w:r>
        <w:rPr>
          <w:rFonts w:hint="eastAsia" w:ascii="方正仿宋_GBK" w:hAnsi="宋体" w:eastAsia="方正仿宋_GBK"/>
        </w:rPr>
        <w:t>.加强安全生产风险防范能力</w:t>
      </w:r>
      <w:bookmarkEnd w:id="56"/>
    </w:p>
    <w:p w14:paraId="0C77BF29">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危险化学品安全。强化预防与应急并重、常态与非常态结合，加强法制建设，加强安全生产执法能力建设，进一步加强安全生产防控机制。推动装备陈旧、工艺落后、管理水平低下、不符合布局规划的危化企业改造、搬迁、关闭及转产。加强危化品重大危险源、重点危化工艺、重点监管危化品、油气输送管道高后果区安全管理。推进鱼复、水土、龙兴“三大新城”全面实施整体风险评估和“一园一策”整改。建立危化品运输信息共享平台，加强危化品运输车辆管理。实行废弃危险化学品产生单位、运输单位、处置单位清单化管理，完善废弃危险化学品收、运、处体系。对工贸企业涉及危险化学品的工艺设备、储存设施开展安全评估，整治无正规设计、安全设施不完善以及危化品超量、超范围储存等突出问题。强化危化品违规生产、储存、成品油非法经营及非法违法小化工等重点环节、领域的“打非”工作。</w:t>
      </w:r>
    </w:p>
    <w:p w14:paraId="00C32CD5">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消防安全。落实消防安全责任制，全面推行专家检查制度，发挥消防安全管理“杠杆”作用，创新群众工作方法。实施消防“生命通道”打通工程，针对电动汽车、电动自行车等新材料，优化落实火灾风险防控措施。强化高层建筑、“九小场所”、大型商业综合体、轨道交通、地下工程、石油化工等重点场所火灾隐患治理和消防安全能力。将老旧小区、家庭生产加工作坊、电动车、彩钢板建筑、“三合一”场所、物流仓储火灾等消防风险治理列入实事工程、民生工程。加强火灾防控科技应用，整合、构建、深度运用消防安全数据库，加强火灾风险分析研判、监测预警，精准治理高风险区域场所。</w:t>
      </w:r>
    </w:p>
    <w:p w14:paraId="2A6F2BB5">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道路运输安全。严格落实客货车产品生产准入、一致性监管，依法淘汰隐患问题车辆，分步实施800公里以上道路班线客运退出客运市场或者转为包车客运。严格治理货车非法改装、“大吨小标”、常压液体危险货物不合规罐车、非法夹带运输等违法违规行为。推动在用“两客一危”车辆和公交客运车辆安装使用智能视频监控系统。整治“百吨王”，理顺信息传递层级，畅通信息传递渠道，严格落实治超“一超四罚”措施。</w:t>
      </w:r>
    </w:p>
    <w:p w14:paraId="09E883FF">
      <w:pPr>
        <w:pStyle w:val="20"/>
        <w:spacing w:after="0" w:line="579" w:lineRule="exact"/>
        <w:ind w:firstLine="640" w:firstLineChars="200"/>
        <w:rPr>
          <w:rFonts w:ascii="方正仿宋_GBK" w:eastAsia="方正仿宋_GBK"/>
          <w:color w:val="FF0000"/>
          <w:szCs w:val="32"/>
        </w:rPr>
      </w:pPr>
      <w:r>
        <w:rPr>
          <w:rFonts w:hint="eastAsia" w:ascii="方正仿宋_GBK" w:eastAsia="方正仿宋_GBK"/>
          <w:szCs w:val="32"/>
        </w:rPr>
        <w:t>——其他交通运输安全。加快临水临崖、连续长陡下坡、急弯陡坡、平交路口等重点路段和危桥改造整治，加强城市隧道桥梁隐患排查治理和内环快速路综合整治。强化可控飞行撞地、跑道安全、空中相撞、危险品运输等重点风险治理，深化机场净空保护、鸟击防范等安全专项整治，加强无人机管控。开展铁路危险货物运输安全专项整治，加强“四类重点船舶”、地方水域安全监管，开展船舶港口的风险分级管控和隐患排查治理。开展航运枢纽大坝除险加固专项行动。加强综合交通枢纽和城市轨道交通运营管理，健全综合交通枢纽安全监管协调沟通工作机制。开展城市轨道交通保护区专项整治，严厉打击违规施工作业、私搭乱建、堆放易燃易爆危险品等危及城市轨道交通运营安全的行为。全面实施渔业船舶安全生产责任保险。</w:t>
      </w:r>
    </w:p>
    <w:p w14:paraId="798F8E36">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建设施工安全。严格执行建设工程建设用地地质灾害危险性评估制度。全面排查利用原有建筑物改建改用为酒店、饭店、学校、体育馆等人员聚集场所安全隐患，依法查处违法建设、违规改变建筑主体结构或使用功能等造成安全隐患行为，落实建筑物所有权人主体责任。强化因工程建设导致城市道路塌陷事故隐患治理等安全管理工作。强化施工现场安全管理，督促企业对临边、洞口、攀登、悬空和交叉作业部位等区域实施重点防护。完善建筑施工安全监管信息系统，推动智慧工地建设，实施建设施工全生命周期管理。加大安全生产许可证动态核查等制度措施落地力度。严格查处建设施工领域安全生产突出违法行为。加强危房改造施工安全管理。到2025年，建筑施工生产安全事故死亡人数累计下降9%。</w:t>
      </w:r>
    </w:p>
    <w:p w14:paraId="26089553">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工贸安全。对粉尘涉爆、铝加工（深井铸造）、钢铁等三类重点企业开展专项执法行动，对重大事故隐患实施定期调度、“销号管理”。对使用具有燃、爆、毒等理化性质的危险化学品工贸企业开展专项整治，聚焦重大安全风险、重大安全隐患和突出违法行为进行重点打击。持续开展粉尘涉爆、高温熔融、涉氨制冷和有限空间作业的“四涉一有限”专项整治。坚持完善标准化评审和执法检查“二合一”，建立完善以风险分级管控和隐患排查治理为重点的安全预防控制体系，分类分级推进企业达标、专业达标、岗位达标，提高企业风险管控能力。开展园区外分散企业“搬、改、关”专项治理。</w:t>
      </w:r>
    </w:p>
    <w:p w14:paraId="37CC8FF4">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危险废物安全。建立生态环境、应急管理、公安、交通等部门联动、区域协作、重大案件会商督办制度，形成覆盖危险废物产生、收集、贮存、转移、运输、利用、处置等全过程的监管体系，加大打击故意隐瞒、偷放偷排或违法违规处置危险废物违法犯罪行为力度。重点整治化工园区、化工企业、危险化学品单位等可能存在的违规堆存、随意倾倒、私自填埋危险废物等问题。危险废物产生单位应设置符合要求的危险废物贮存设施，鼓励危险废物产生量大的企业和化工园区配套建设危险废物处置设施。</w:t>
      </w:r>
    </w:p>
    <w:p w14:paraId="03BB38F1">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城市运行安全。开展以市政公用设施、地下基础设施、老旧人防工程、城市公共空间等为重点的城市公共设施安全专项体检。加强城市道路桥梁隧道、城市地下管线、城镇燃气、醇基液体燃料、成品油、城市排水、生活垃圾填埋场及渣土受纳场、城市照明及户外广告设施、人防工程等城市敏感点安全风险辨识、评估、管控。推进城市综合管理各类平台建设，实现联动互通、信息共享，加强城市运行风险监测预警和应急响应、应对处置。依法打击城市违法建设、损坏公共设施、侵占公共空间、渣土车辆违法运输倾倒等行为。</w:t>
      </w:r>
    </w:p>
    <w:p w14:paraId="64B5B6DD">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特种设备安全。持续推动油气管道和城镇燃气管道隐患整治，严格落实油气管道和城镇燃气管道法定检验制度。以“互联网+”等信息化为手段，建设智慧特种设备安全管理系统，发挥电梯“96333”应急处置平台运行效能，推动电梯物联网技术落地，推进气瓶质量追溯系统建设，用好国家企业信用公示系统和我市特种设备信息一体化平台，构建信用监管长效机制，加强对违法行为的联合惩戒。建立完善电梯、大型游乐设施等特种设备标准规范。扎实推进电梯按需维保新模式。</w:t>
      </w:r>
    </w:p>
    <w:p w14:paraId="1C706123">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园区安全。严格新区鱼复、水土、龙兴“三大新城”的进园入园项目准入，开展园区建设项目区域整体安全评价，完善园区安全保障设施。开展园区整体性安全风险评估，高风险化工园区严禁新建、扩建危险化学品建设项目，严控改建危险化学品建设项目。生产、使用有毒气体且构成重大危险源的园区配套建设气防站。危险化学品道路运输量较大的工业园区、物流仓储园区配套建设具有洗车、维修等功能的专用停车场，危险废物量较大的化工园区应布点建设危险废物集中处置企业。有序推进园区一体化、封闭化管理。加快智慧园区建设，建成园区集约化可视化安全监管信息共享平台。</w:t>
      </w:r>
    </w:p>
    <w:p w14:paraId="36833CC6">
      <w:pPr>
        <w:pStyle w:val="6"/>
        <w:adjustRightInd w:val="0"/>
        <w:snapToGrid w:val="0"/>
        <w:spacing w:before="0" w:after="0" w:line="579" w:lineRule="exact"/>
        <w:ind w:firstLine="640" w:firstLineChars="200"/>
        <w:rPr>
          <w:rFonts w:ascii="方正仿宋_GBK" w:hAnsi="宋体" w:eastAsia="方正仿宋_GBK"/>
        </w:rPr>
      </w:pPr>
      <w:bookmarkStart w:id="57" w:name="_Toc87275332"/>
      <w:r>
        <w:rPr>
          <w:rFonts w:ascii="方正仿宋_GBK" w:hAnsi="宋体" w:eastAsia="方正仿宋_GBK"/>
        </w:rPr>
        <w:t>3</w:t>
      </w:r>
      <w:r>
        <w:rPr>
          <w:rFonts w:hint="eastAsia" w:ascii="方正仿宋_GBK" w:hAnsi="宋体" w:eastAsia="方正仿宋_GBK"/>
        </w:rPr>
        <w:t>.加强自然灾害综合风险防治能力</w:t>
      </w:r>
      <w:bookmarkEnd w:id="57"/>
    </w:p>
    <w:p w14:paraId="6C681AAB">
      <w:pPr>
        <w:pStyle w:val="4"/>
        <w:spacing w:line="579" w:lineRule="exact"/>
        <w:ind w:firstLine="640"/>
        <w:rPr>
          <w:rFonts w:ascii="方正仿宋_GBK" w:eastAsia="方正仿宋_GBK"/>
          <w:szCs w:val="32"/>
        </w:rPr>
      </w:pPr>
      <w:r>
        <w:rPr>
          <w:rFonts w:hint="eastAsia" w:ascii="方正仿宋_GBK" w:eastAsia="方正仿宋_GBK"/>
          <w:szCs w:val="32"/>
        </w:rPr>
        <w:t>——洪旱灾害防治。</w:t>
      </w:r>
      <w:r>
        <w:rPr>
          <w:rFonts w:ascii="方正仿宋_GBK" w:eastAsia="方正仿宋_GBK"/>
          <w:szCs w:val="32"/>
        </w:rPr>
        <w:t>强化大中型水库、重点城镇、</w:t>
      </w:r>
      <w:r>
        <w:rPr>
          <w:rFonts w:hint="eastAsia" w:ascii="方正仿宋_GBK" w:eastAsia="方正仿宋_GBK"/>
          <w:szCs w:val="32"/>
        </w:rPr>
        <w:t>重点区域等行政、技术、巡查“三个责任人”制度，继续实施责任人公示制度。加快防洪抗旱重大枢纽工程建设，加强中小河流治理、病险水库和病险水闸除险加固、山洪灾害治理、防洪排涝治理。</w:t>
      </w:r>
    </w:p>
    <w:p w14:paraId="6F7A181C">
      <w:pPr>
        <w:pStyle w:val="4"/>
        <w:spacing w:line="579" w:lineRule="exact"/>
        <w:ind w:firstLine="640"/>
        <w:rPr>
          <w:rFonts w:ascii="方正仿宋_GBK" w:eastAsia="方正仿宋_GBK"/>
          <w:szCs w:val="32"/>
        </w:rPr>
      </w:pPr>
      <w:r>
        <w:rPr>
          <w:rFonts w:hint="eastAsia" w:ascii="方正仿宋_GBK" w:eastAsia="方正仿宋_GBK"/>
          <w:szCs w:val="32"/>
        </w:rPr>
        <w:t>——地质地震灾害防治。全面推行地质灾害应急管理隐患排查、监测预警、避险撤离、工程治理、应急响应、应急处置、调查评估规范化建设。</w:t>
      </w:r>
      <w:r>
        <w:rPr>
          <w:rFonts w:ascii="方正仿宋_GBK" w:eastAsia="方正仿宋_GBK"/>
          <w:szCs w:val="32"/>
        </w:rPr>
        <w:t>落实基层地质灾害监测责任和防灾责任，将监测、处置和防治责任落实到</w:t>
      </w:r>
      <w:r>
        <w:rPr>
          <w:rFonts w:hint="eastAsia" w:ascii="方正仿宋_GBK" w:eastAsia="方正仿宋_GBK"/>
          <w:szCs w:val="32"/>
        </w:rPr>
        <w:t>街道、居委会、居民小组和企事业单位</w:t>
      </w:r>
      <w:r>
        <w:rPr>
          <w:rFonts w:ascii="方正仿宋_GBK" w:eastAsia="方正仿宋_GBK"/>
          <w:szCs w:val="32"/>
        </w:rPr>
        <w:t>，严格按照</w:t>
      </w:r>
      <w:r>
        <w:rPr>
          <w:rFonts w:hint="eastAsia" w:ascii="方正仿宋_GBK" w:eastAsia="方正仿宋_GBK"/>
          <w:szCs w:val="32"/>
        </w:rPr>
        <w:t>“群测群防员、片区负责人、驻守地质队员、区县技术管理员”四重网格</w:t>
      </w:r>
      <w:r>
        <w:rPr>
          <w:rFonts w:ascii="方正仿宋_GBK" w:eastAsia="方正仿宋_GBK"/>
          <w:szCs w:val="32"/>
        </w:rPr>
        <w:t>工作要求落实巡查排查、监测预警等工作</w:t>
      </w:r>
      <w:r>
        <w:rPr>
          <w:rFonts w:hint="eastAsia" w:ascii="方正仿宋_GBK" w:eastAsia="方正仿宋_GBK"/>
          <w:szCs w:val="32"/>
        </w:rPr>
        <w:t>。实施地质灾害智能化监测预警项目建设。加强重点地区和地震活断层探测，加快实施地震易发区房屋设施抗震加固工程，提高房屋设施的抗震设防能力。</w:t>
      </w:r>
    </w:p>
    <w:p w14:paraId="77464F18">
      <w:pPr>
        <w:pStyle w:val="4"/>
        <w:spacing w:line="579" w:lineRule="exact"/>
        <w:ind w:firstLine="640"/>
        <w:rPr>
          <w:rFonts w:ascii="方正仿宋_GBK" w:eastAsia="方正仿宋_GBK"/>
          <w:szCs w:val="32"/>
        </w:rPr>
      </w:pPr>
      <w:r>
        <w:rPr>
          <w:rFonts w:hint="eastAsia" w:ascii="方正仿宋_GBK" w:eastAsia="方正仿宋_GBK"/>
          <w:szCs w:val="32"/>
        </w:rPr>
        <w:t>——森林火灾防治。进一步完善森林火灾预防、扑救、保障三大体系，</w:t>
      </w:r>
      <w:r>
        <w:rPr>
          <w:rFonts w:ascii="方正仿宋_GBK" w:eastAsia="方正仿宋_GBK"/>
          <w:szCs w:val="32"/>
        </w:rPr>
        <w:t>落实区县、</w:t>
      </w:r>
      <w:r>
        <w:rPr>
          <w:rFonts w:hint="eastAsia" w:ascii="方正仿宋_GBK" w:eastAsia="方正仿宋_GBK"/>
          <w:szCs w:val="32"/>
        </w:rPr>
        <w:t>街道</w:t>
      </w:r>
      <w:r>
        <w:rPr>
          <w:rFonts w:ascii="方正仿宋_GBK" w:eastAsia="方正仿宋_GBK"/>
          <w:szCs w:val="32"/>
        </w:rPr>
        <w:t>森林防火行政首长负责制和属地管理责任</w:t>
      </w:r>
      <w:r>
        <w:rPr>
          <w:rFonts w:hint="eastAsia" w:ascii="方正仿宋_GBK" w:eastAsia="方正仿宋_GBK"/>
          <w:szCs w:val="32"/>
        </w:rPr>
        <w:t>。</w:t>
      </w:r>
      <w:r>
        <w:rPr>
          <w:rFonts w:ascii="方正仿宋_GBK" w:eastAsia="方正仿宋_GBK"/>
          <w:szCs w:val="32"/>
        </w:rPr>
        <w:t>严格执行野外用火审批制度，加大旅游地区、农林结合部的火源管控力度</w:t>
      </w:r>
      <w:r>
        <w:rPr>
          <w:rFonts w:hint="eastAsia" w:ascii="方正仿宋_GBK" w:eastAsia="方正仿宋_GBK"/>
          <w:szCs w:val="32"/>
        </w:rPr>
        <w:t>，</w:t>
      </w:r>
      <w:r>
        <w:rPr>
          <w:rFonts w:ascii="方正仿宋_GBK" w:eastAsia="方正仿宋_GBK"/>
          <w:szCs w:val="32"/>
        </w:rPr>
        <w:t>认真落实松材线虫疫木焚烧</w:t>
      </w:r>
      <w:r>
        <w:rPr>
          <w:rFonts w:hint="eastAsia" w:ascii="方正仿宋_GBK" w:eastAsia="方正仿宋_GBK"/>
          <w:szCs w:val="32"/>
        </w:rPr>
        <w:t>规定。每年</w:t>
      </w:r>
      <w:r>
        <w:rPr>
          <w:rFonts w:ascii="方正仿宋_GBK" w:eastAsia="方正仿宋_GBK"/>
          <w:szCs w:val="32"/>
        </w:rPr>
        <w:t>至少开展</w:t>
      </w:r>
      <w:r>
        <w:rPr>
          <w:rFonts w:hint="eastAsia" w:ascii="方正仿宋_GBK" w:eastAsia="方正仿宋_GBK"/>
          <w:szCs w:val="32"/>
        </w:rPr>
        <w:t>1</w:t>
      </w:r>
      <w:r>
        <w:rPr>
          <w:rFonts w:ascii="方正仿宋_GBK" w:eastAsia="方正仿宋_GBK"/>
          <w:szCs w:val="32"/>
        </w:rPr>
        <w:t>次森林火灾风险隐患排查整治</w:t>
      </w:r>
      <w:r>
        <w:rPr>
          <w:rFonts w:hint="eastAsia" w:ascii="方正仿宋_GBK" w:eastAsia="方正仿宋_GBK"/>
          <w:szCs w:val="32"/>
        </w:rPr>
        <w:t>，加强重点时段</w:t>
      </w:r>
      <w:r>
        <w:rPr>
          <w:rFonts w:ascii="方正仿宋_GBK" w:eastAsia="方正仿宋_GBK"/>
          <w:szCs w:val="32"/>
        </w:rPr>
        <w:t>森林火灾督导检查</w:t>
      </w:r>
      <w:r>
        <w:rPr>
          <w:rFonts w:hint="eastAsia" w:ascii="方正仿宋_GBK" w:eastAsia="方正仿宋_GBK"/>
          <w:szCs w:val="32"/>
        </w:rPr>
        <w:t>。全区24小时森林火灾扑灭率达到95%以上，推动我市森林火灾受害率整体稳定控制在0.3‰以内。</w:t>
      </w:r>
    </w:p>
    <w:p w14:paraId="131D87C1">
      <w:pPr>
        <w:pStyle w:val="4"/>
        <w:spacing w:line="579" w:lineRule="exact"/>
        <w:ind w:firstLine="640"/>
        <w:rPr>
          <w:rFonts w:ascii="方正仿宋_GBK" w:eastAsia="方正仿宋_GBK"/>
          <w:szCs w:val="32"/>
        </w:rPr>
      </w:pPr>
      <w:r>
        <w:rPr>
          <w:rFonts w:hint="eastAsia" w:ascii="方正仿宋_GBK" w:eastAsia="方正仿宋_GBK"/>
          <w:szCs w:val="32"/>
        </w:rPr>
        <w:t>——气象灾害防治。开展气象灾害风险普查，建设基于大数据的气象灾害风险管理平台，提升风险管理能力。建立重大气象灾害预警信息紧急快速发布“绿色通道”，实现气象灾害高风险区预警信息到户到人。完善广播电视、网络媒体等全媒体准确及时无偿向社会传播气象灾害预警信息机制。提升气象监测精密、预报精准、服务精细能力，充分发挥气象防灾减灾第一道防线作用。</w:t>
      </w:r>
    </w:p>
    <w:p w14:paraId="1E0AF14E">
      <w:pPr>
        <w:pStyle w:val="6"/>
        <w:adjustRightInd w:val="0"/>
        <w:snapToGrid w:val="0"/>
        <w:spacing w:before="0" w:after="0" w:line="579" w:lineRule="exact"/>
        <w:ind w:firstLine="640" w:firstLineChars="200"/>
        <w:rPr>
          <w:rFonts w:ascii="方正仿宋_GBK" w:hAnsi="宋体" w:eastAsia="方正仿宋_GBK"/>
        </w:rPr>
      </w:pPr>
      <w:bookmarkStart w:id="58" w:name="_Toc87275333"/>
      <w:r>
        <w:rPr>
          <w:rFonts w:ascii="方正仿宋_GBK" w:hAnsi="宋体" w:eastAsia="方正仿宋_GBK"/>
        </w:rPr>
        <w:t>4</w:t>
      </w:r>
      <w:r>
        <w:rPr>
          <w:rFonts w:hint="eastAsia" w:ascii="方正仿宋_GBK" w:hAnsi="宋体" w:eastAsia="方正仿宋_GBK"/>
        </w:rPr>
        <w:t>.推进防灾减灾基础工程建设</w:t>
      </w:r>
      <w:bookmarkEnd w:id="58"/>
    </w:p>
    <w:p w14:paraId="4124771D">
      <w:pPr>
        <w:pStyle w:val="4"/>
        <w:spacing w:line="579" w:lineRule="exact"/>
        <w:ind w:firstLine="640"/>
        <w:rPr>
          <w:rFonts w:ascii="方正仿宋_GBK" w:eastAsia="方正仿宋_GBK"/>
          <w:szCs w:val="32"/>
        </w:rPr>
      </w:pPr>
      <w:r>
        <w:rPr>
          <w:rFonts w:hint="eastAsia" w:ascii="方正仿宋_GBK" w:eastAsia="方正仿宋_GBK"/>
          <w:szCs w:val="32"/>
        </w:rPr>
        <w:t>系统布局防洪减灾设施，统筹推进城市堤防、排水管渠、排涝除险、蓄水空间等设施建设，有效治理城市洪涝问题。加强地震安全保障，继续实施民居地震安全工程。推进森林火险预警平台建设，加强森林防火检查站、森林消防水池、防火阻隔系统等基础设施建设。推动应急避难场所提级扩能。</w:t>
      </w:r>
    </w:p>
    <w:p w14:paraId="7AD1E55E">
      <w:pPr>
        <w:pStyle w:val="6"/>
        <w:adjustRightInd w:val="0"/>
        <w:snapToGrid w:val="0"/>
        <w:spacing w:before="0" w:after="0" w:line="579" w:lineRule="exact"/>
        <w:ind w:firstLine="640" w:firstLineChars="200"/>
        <w:rPr>
          <w:rFonts w:ascii="方正仿宋_GBK" w:hAnsi="宋体" w:eastAsia="方正仿宋_GBK"/>
        </w:rPr>
      </w:pPr>
      <w:bookmarkStart w:id="59" w:name="_Toc75618778"/>
      <w:bookmarkStart w:id="60" w:name="_Toc87275334"/>
      <w:r>
        <w:rPr>
          <w:rFonts w:ascii="方正仿宋_GBK" w:hAnsi="宋体" w:eastAsia="方正仿宋_GBK"/>
        </w:rPr>
        <w:t>5.</w:t>
      </w:r>
      <w:r>
        <w:rPr>
          <w:rFonts w:hint="eastAsia" w:ascii="方正仿宋_GBK" w:hAnsi="宋体" w:eastAsia="方正仿宋_GBK"/>
        </w:rPr>
        <w:t>加强灾害恢复重建能力</w:t>
      </w:r>
      <w:bookmarkEnd w:id="59"/>
      <w:bookmarkEnd w:id="60"/>
    </w:p>
    <w:p w14:paraId="1A565D41">
      <w:pPr>
        <w:pStyle w:val="4"/>
        <w:spacing w:line="579" w:lineRule="exact"/>
        <w:ind w:firstLine="640"/>
        <w:rPr>
          <w:rFonts w:ascii="方正仿宋_GBK" w:eastAsia="方正仿宋_GBK"/>
          <w:szCs w:val="32"/>
        </w:rPr>
      </w:pPr>
      <w:r>
        <w:rPr>
          <w:rFonts w:hint="eastAsia" w:ascii="方正仿宋_GBK" w:eastAsia="方正仿宋_GBK"/>
          <w:szCs w:val="32"/>
        </w:rPr>
        <w:t>推动灾情信息管理，做好灾情报告、核查、评估工作。制定落实完善灾区扶持政策，加快损毁工程修复，推进灾区重建工作，采取措施防止发生次生、衍生事件。及时开展受灾人员基本生活救助、补偿、抚慰、抚恤、安置等工作，全力做好饮用水、粮油、蔬菜、电力、运输等保障，尽快恢复经济社会秩序。</w:t>
      </w:r>
    </w:p>
    <w:p w14:paraId="3022B604">
      <w:pPr>
        <w:pStyle w:val="6"/>
        <w:adjustRightInd w:val="0"/>
        <w:snapToGrid w:val="0"/>
        <w:spacing w:before="0" w:after="0" w:line="579" w:lineRule="exact"/>
        <w:ind w:firstLine="640" w:firstLineChars="200"/>
        <w:rPr>
          <w:rFonts w:ascii="方正仿宋_GBK" w:hAnsi="宋体" w:eastAsia="方正仿宋_GBK"/>
        </w:rPr>
      </w:pPr>
      <w:bookmarkStart w:id="61" w:name="_Toc87275335"/>
      <w:r>
        <w:rPr>
          <w:rFonts w:hint="eastAsia" w:ascii="方正仿宋_GBK" w:hAnsi="宋体" w:eastAsia="方正仿宋_GBK"/>
        </w:rPr>
        <w:t>6</w:t>
      </w:r>
      <w:r>
        <w:rPr>
          <w:rFonts w:ascii="方正仿宋_GBK" w:hAnsi="宋体" w:eastAsia="方正仿宋_GBK"/>
        </w:rPr>
        <w:t>.</w:t>
      </w:r>
      <w:r>
        <w:rPr>
          <w:rFonts w:hint="eastAsia" w:ascii="方正仿宋_GBK" w:hAnsi="宋体" w:eastAsia="方正仿宋_GBK"/>
        </w:rPr>
        <w:t>发挥市场机制防灾减灾作用</w:t>
      </w:r>
      <w:bookmarkEnd w:id="61"/>
    </w:p>
    <w:p w14:paraId="6435648F">
      <w:pPr>
        <w:pStyle w:val="4"/>
        <w:spacing w:line="579" w:lineRule="exact"/>
        <w:ind w:firstLine="640"/>
        <w:rPr>
          <w:szCs w:val="32"/>
        </w:rPr>
      </w:pPr>
      <w:r>
        <w:rPr>
          <w:rFonts w:hint="eastAsia" w:ascii="方正仿宋_GBK" w:eastAsia="方正仿宋_GBK"/>
          <w:szCs w:val="32"/>
        </w:rPr>
        <w:t>发挥保险等市场机制作用，鼓励保险公司开发各类涉灾商业型险种，鼓励企业和个人积极投保，不断扩大涉灾保险覆盖面。鼓励企业设立储备、产业、商业等应急恢复（互助）基金，提高企业社会参与度。</w:t>
      </w:r>
    </w:p>
    <w:p w14:paraId="4C503AA1">
      <w:pPr>
        <w:pStyle w:val="5"/>
        <w:keepNext/>
        <w:keepLines/>
        <w:spacing w:before="0" w:line="579" w:lineRule="exact"/>
        <w:ind w:firstLine="640" w:firstLineChars="200"/>
        <w:rPr>
          <w:rFonts w:ascii="方正楷体_GBK" w:hAnsi="Times New Roman" w:eastAsia="方正楷体_GBK"/>
          <w:b w:val="0"/>
          <w:bCs/>
          <w:sz w:val="32"/>
          <w:szCs w:val="32"/>
        </w:rPr>
      </w:pPr>
      <w:bookmarkStart w:id="62" w:name="_Toc87275336"/>
      <w:bookmarkStart w:id="63" w:name="_Toc75618157"/>
      <w:r>
        <w:rPr>
          <w:rFonts w:hint="eastAsia" w:ascii="方正楷体_GBK" w:hAnsi="Times New Roman" w:eastAsia="方正楷体_GBK"/>
          <w:b w:val="0"/>
          <w:bCs/>
          <w:sz w:val="32"/>
          <w:szCs w:val="32"/>
        </w:rPr>
        <w:t>（三）提升应急救援队伍能力建设</w:t>
      </w:r>
      <w:bookmarkEnd w:id="62"/>
      <w:bookmarkEnd w:id="63"/>
    </w:p>
    <w:p w14:paraId="6D5D6872">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按照“加强资源整合，推动军民融合，强化基层力量，完善运行机制，提升战斗能力”思路，根据坚持素质建队、坚持科技强队、坚持规范治队、坚持文化塑队的原则，按照重庆市四级综合应急救援队伍整体建设要求，增强我区各类应急救援队伍能力建设，明确救援人员配置及装备配备的标准，加强高科技含量的装备配置，强化队伍联合联动训练，健全快速调动机制，提高队伍协同应急作战能力。</w:t>
      </w:r>
    </w:p>
    <w:p w14:paraId="0B0032A3">
      <w:pPr>
        <w:pStyle w:val="6"/>
        <w:adjustRightInd w:val="0"/>
        <w:snapToGrid w:val="0"/>
        <w:spacing w:before="0" w:after="0" w:line="579" w:lineRule="exact"/>
        <w:ind w:firstLine="640" w:firstLineChars="200"/>
        <w:rPr>
          <w:rFonts w:ascii="方正仿宋_GBK" w:hAnsi="宋体" w:eastAsia="方正仿宋_GBK"/>
        </w:rPr>
      </w:pPr>
      <w:bookmarkStart w:id="64" w:name="_Toc87275337"/>
      <w:r>
        <w:rPr>
          <w:rFonts w:ascii="方正仿宋_GBK" w:hAnsi="宋体" w:eastAsia="方正仿宋_GBK"/>
        </w:rPr>
        <w:t>1</w:t>
      </w:r>
      <w:r>
        <w:rPr>
          <w:rFonts w:hint="eastAsia" w:ascii="方正仿宋_GBK" w:hAnsi="宋体" w:eastAsia="方正仿宋_GBK"/>
        </w:rPr>
        <w:t>.加强应急救援队伍的统一规划、标准、投入</w:t>
      </w:r>
      <w:bookmarkEnd w:id="64"/>
    </w:p>
    <w:p w14:paraId="6E44B579">
      <w:pPr>
        <w:pStyle w:val="67"/>
        <w:spacing w:line="579" w:lineRule="exact"/>
        <w:ind w:firstLine="640"/>
        <w:rPr>
          <w:rFonts w:ascii="方正仿宋_GBK" w:hAnsi="Times New Roman" w:eastAsia="方正仿宋_GBK"/>
          <w:sz w:val="32"/>
          <w:szCs w:val="32"/>
        </w:rPr>
      </w:pPr>
      <w:r>
        <w:rPr>
          <w:rFonts w:hint="eastAsia" w:ascii="方正仿宋_GBK" w:hAnsi="Times New Roman" w:eastAsia="方正仿宋_GBK"/>
          <w:sz w:val="32"/>
          <w:szCs w:val="32"/>
        </w:rPr>
        <w:t>统筹规划我区应急救援队伍的种类、数量、层次、布局等，制定各级各类救援队伍建设标准及管理办法，保障人员、装备、资金等方面的持续稳定投入。</w:t>
      </w:r>
    </w:p>
    <w:p w14:paraId="0B57D234">
      <w:pPr>
        <w:pStyle w:val="6"/>
        <w:adjustRightInd w:val="0"/>
        <w:snapToGrid w:val="0"/>
        <w:spacing w:before="0" w:after="0" w:line="579" w:lineRule="exact"/>
        <w:ind w:firstLine="640" w:firstLineChars="200"/>
        <w:rPr>
          <w:rFonts w:ascii="方正仿宋_GBK" w:hAnsi="宋体" w:eastAsia="方正仿宋_GBK"/>
        </w:rPr>
      </w:pPr>
      <w:bookmarkStart w:id="65" w:name="_Toc87275338"/>
      <w:r>
        <w:rPr>
          <w:rFonts w:hint="eastAsia" w:ascii="方正仿宋_GBK" w:hAnsi="宋体" w:eastAsia="方正仿宋_GBK"/>
        </w:rPr>
        <w:t>2.加强综合性应急救援队伍能力建设</w:t>
      </w:r>
      <w:bookmarkEnd w:id="65"/>
    </w:p>
    <w:p w14:paraId="0CC11BD6">
      <w:pPr>
        <w:pStyle w:val="67"/>
        <w:spacing w:line="579" w:lineRule="exact"/>
        <w:ind w:firstLine="640"/>
        <w:rPr>
          <w:rFonts w:ascii="方正仿宋_GBK" w:hAnsi="Times New Roman" w:eastAsia="方正仿宋_GBK"/>
          <w:sz w:val="32"/>
          <w:szCs w:val="32"/>
        </w:rPr>
      </w:pPr>
      <w:r>
        <w:rPr>
          <w:rFonts w:hint="eastAsia" w:ascii="方正仿宋_GBK" w:hAnsi="Times New Roman" w:eastAsia="方正仿宋_GBK"/>
          <w:sz w:val="32"/>
          <w:szCs w:val="32"/>
        </w:rPr>
        <w:t>推动军民融合，加强同公安、消防、武警、军队等骨干和突击力量的联动机制和预案体系建设，加强统一管理、统一指挥、科学救援、协同联动、信息共享。</w:t>
      </w:r>
      <w:r>
        <w:rPr>
          <w:rFonts w:ascii="方正仿宋_GBK" w:hAnsi="Times New Roman" w:eastAsia="方正仿宋_GBK"/>
          <w:sz w:val="32"/>
          <w:szCs w:val="32"/>
        </w:rPr>
        <w:t>全面提升综合性消防救援队伍的正规化、专业化、职业化水平</w:t>
      </w:r>
      <w:r>
        <w:rPr>
          <w:rFonts w:hint="eastAsia" w:ascii="方正仿宋_GBK" w:hAnsi="Times New Roman" w:eastAsia="方正仿宋_GBK"/>
          <w:sz w:val="32"/>
          <w:szCs w:val="32"/>
        </w:rPr>
        <w:t>。</w:t>
      </w:r>
      <w:r>
        <w:rPr>
          <w:rFonts w:ascii="方正仿宋_GBK" w:hAnsi="Times New Roman" w:eastAsia="方正仿宋_GBK"/>
          <w:sz w:val="32"/>
          <w:szCs w:val="32"/>
        </w:rPr>
        <w:t>加强军地沟通协调</w:t>
      </w:r>
      <w:r>
        <w:rPr>
          <w:rFonts w:hint="eastAsia" w:ascii="方正仿宋_GBK" w:hAnsi="Times New Roman" w:eastAsia="方正仿宋_GBK"/>
          <w:sz w:val="32"/>
          <w:szCs w:val="32"/>
        </w:rPr>
        <w:t>，</w:t>
      </w:r>
      <w:r>
        <w:rPr>
          <w:rFonts w:ascii="方正仿宋_GBK" w:hAnsi="Times New Roman" w:eastAsia="方正仿宋_GBK"/>
          <w:sz w:val="32"/>
          <w:szCs w:val="32"/>
        </w:rPr>
        <w:t>支持民兵应急力量装备建设</w:t>
      </w:r>
      <w:r>
        <w:rPr>
          <w:rFonts w:hint="eastAsia" w:ascii="方正仿宋_GBK" w:hAnsi="Times New Roman" w:eastAsia="方正仿宋_GBK"/>
          <w:sz w:val="32"/>
          <w:szCs w:val="32"/>
        </w:rPr>
        <w:t>，</w:t>
      </w:r>
      <w:r>
        <w:rPr>
          <w:rFonts w:ascii="方正仿宋_GBK" w:hAnsi="Times New Roman" w:eastAsia="方正仿宋_GBK"/>
          <w:sz w:val="32"/>
          <w:szCs w:val="32"/>
        </w:rPr>
        <w:t>多措并举提高民兵应急力量抢险救援能力</w:t>
      </w:r>
      <w:r>
        <w:rPr>
          <w:rFonts w:hint="eastAsia" w:ascii="方正仿宋_GBK" w:hAnsi="Times New Roman" w:eastAsia="方正仿宋_GBK"/>
          <w:sz w:val="32"/>
          <w:szCs w:val="32"/>
        </w:rPr>
        <w:t>。</w:t>
      </w:r>
      <w:r>
        <w:rPr>
          <w:rFonts w:ascii="方正仿宋_GBK" w:hAnsi="Times New Roman" w:eastAsia="方正仿宋_GBK"/>
          <w:sz w:val="32"/>
          <w:szCs w:val="32"/>
        </w:rPr>
        <w:t>完善综合应急救援队伍装备配备指导目录，加强队伍先进适用装备配备</w:t>
      </w:r>
      <w:r>
        <w:rPr>
          <w:rFonts w:hint="eastAsia" w:ascii="方正仿宋_GBK" w:hAnsi="Times New Roman" w:eastAsia="方正仿宋_GBK"/>
          <w:sz w:val="32"/>
          <w:szCs w:val="32"/>
        </w:rPr>
        <w:t>。</w:t>
      </w:r>
      <w:r>
        <w:rPr>
          <w:rFonts w:ascii="方正仿宋_GBK" w:hAnsi="Times New Roman" w:eastAsia="方正仿宋_GBK"/>
          <w:sz w:val="32"/>
          <w:szCs w:val="32"/>
        </w:rPr>
        <w:t>强化多灾种专业化训练，提高极端条件下综合救援能力</w:t>
      </w:r>
      <w:r>
        <w:rPr>
          <w:rFonts w:hint="eastAsia" w:ascii="方正仿宋_GBK" w:hAnsi="Times New Roman" w:eastAsia="方正仿宋_GBK"/>
          <w:sz w:val="32"/>
          <w:szCs w:val="32"/>
        </w:rPr>
        <w:t>。</w:t>
      </w:r>
      <w:r>
        <w:rPr>
          <w:rFonts w:ascii="方正仿宋_GBK" w:hAnsi="Times New Roman" w:eastAsia="方正仿宋_GBK"/>
          <w:sz w:val="32"/>
          <w:szCs w:val="32"/>
        </w:rPr>
        <w:t>进一步优化整合各类应急救援力量，组建</w:t>
      </w:r>
      <w:r>
        <w:rPr>
          <w:rFonts w:hint="eastAsia" w:ascii="方正仿宋_GBK" w:hAnsi="Times New Roman" w:eastAsia="方正仿宋_GBK"/>
          <w:sz w:val="32"/>
          <w:szCs w:val="32"/>
        </w:rPr>
        <w:t>区级、</w:t>
      </w:r>
      <w:r>
        <w:rPr>
          <w:rFonts w:ascii="方正仿宋_GBK" w:hAnsi="Times New Roman" w:eastAsia="方正仿宋_GBK"/>
          <w:sz w:val="32"/>
          <w:szCs w:val="32"/>
        </w:rPr>
        <w:t>街道综合应急救援队伍</w:t>
      </w:r>
      <w:r>
        <w:rPr>
          <w:rFonts w:hint="eastAsia" w:ascii="方正仿宋_GBK" w:hAnsi="Times New Roman" w:eastAsia="方正仿宋_GBK"/>
          <w:sz w:val="32"/>
          <w:szCs w:val="32"/>
        </w:rPr>
        <w:t>，完善</w:t>
      </w:r>
      <w:r>
        <w:rPr>
          <w:rFonts w:ascii="方正仿宋_GBK" w:hAnsi="Times New Roman" w:eastAsia="方正仿宋_GBK"/>
          <w:sz w:val="32"/>
          <w:szCs w:val="32"/>
        </w:rPr>
        <w:t>区</w:t>
      </w:r>
      <w:r>
        <w:rPr>
          <w:rFonts w:hint="eastAsia" w:ascii="方正仿宋_GBK" w:hAnsi="Times New Roman" w:eastAsia="方正仿宋_GBK"/>
          <w:sz w:val="32"/>
          <w:szCs w:val="32"/>
        </w:rPr>
        <w:t>级</w:t>
      </w:r>
      <w:r>
        <w:rPr>
          <w:rFonts w:ascii="方正仿宋_GBK" w:hAnsi="Times New Roman" w:eastAsia="方正仿宋_GBK"/>
          <w:sz w:val="32"/>
          <w:szCs w:val="32"/>
        </w:rPr>
        <w:t>、街道综合应急救援队伍双重领导管理体制</w:t>
      </w:r>
      <w:r>
        <w:rPr>
          <w:rFonts w:hint="eastAsia" w:ascii="方正仿宋_GBK" w:hAnsi="Times New Roman" w:eastAsia="方正仿宋_GBK"/>
          <w:sz w:val="32"/>
          <w:szCs w:val="32"/>
        </w:rPr>
        <w:t>。</w:t>
      </w:r>
    </w:p>
    <w:p w14:paraId="3CC9A60E">
      <w:pPr>
        <w:pStyle w:val="6"/>
        <w:adjustRightInd w:val="0"/>
        <w:snapToGrid w:val="0"/>
        <w:spacing w:before="0" w:after="0" w:line="579" w:lineRule="exact"/>
        <w:ind w:firstLine="640" w:firstLineChars="200"/>
        <w:rPr>
          <w:rFonts w:ascii="方正仿宋_GBK" w:hAnsi="宋体" w:eastAsia="方正仿宋_GBK"/>
        </w:rPr>
      </w:pPr>
      <w:bookmarkStart w:id="66" w:name="_Toc87275339"/>
      <w:r>
        <w:rPr>
          <w:rFonts w:ascii="方正仿宋_GBK" w:hAnsi="宋体" w:eastAsia="方正仿宋_GBK"/>
        </w:rPr>
        <w:t>3</w:t>
      </w:r>
      <w:r>
        <w:rPr>
          <w:rFonts w:hint="eastAsia" w:ascii="方正仿宋_GBK" w:hAnsi="宋体" w:eastAsia="方正仿宋_GBK"/>
        </w:rPr>
        <w:t>.加强专业性应急救援队伍能力建设</w:t>
      </w:r>
      <w:bookmarkEnd w:id="66"/>
    </w:p>
    <w:p w14:paraId="1629E6CA">
      <w:pPr>
        <w:pStyle w:val="67"/>
        <w:spacing w:line="579" w:lineRule="exact"/>
        <w:ind w:firstLine="640"/>
        <w:rPr>
          <w:rFonts w:ascii="方正仿宋_GBK" w:hAnsi="Times New Roman" w:eastAsia="方正仿宋_GBK"/>
          <w:sz w:val="32"/>
          <w:szCs w:val="32"/>
        </w:rPr>
      </w:pPr>
      <w:r>
        <w:rPr>
          <w:rFonts w:hint="eastAsia" w:ascii="方正仿宋_GBK" w:hAnsi="Times New Roman" w:eastAsia="方正仿宋_GBK"/>
          <w:sz w:val="32"/>
          <w:szCs w:val="32"/>
        </w:rPr>
        <w:t>优化队伍布局，明确专业应急救援队伍的有效保障范围，提升救援能力，拓展应急救援服务行业领域，积极推进各行业领域专业救援基地和队伍建设。</w:t>
      </w:r>
      <w:r>
        <w:rPr>
          <w:rFonts w:ascii="方正仿宋_GBK" w:hAnsi="Times New Roman" w:eastAsia="方正仿宋_GBK"/>
          <w:sz w:val="32"/>
          <w:szCs w:val="32"/>
        </w:rPr>
        <w:t>组织开展专业技能培训和</w:t>
      </w:r>
      <w:r>
        <w:rPr>
          <w:rFonts w:hint="eastAsia" w:ascii="方正仿宋_GBK" w:hAnsi="Times New Roman" w:eastAsia="方正仿宋_GBK"/>
          <w:sz w:val="32"/>
          <w:szCs w:val="32"/>
        </w:rPr>
        <w:t>实训演练</w:t>
      </w:r>
      <w:r>
        <w:rPr>
          <w:rFonts w:ascii="方正仿宋_GBK" w:hAnsi="Times New Roman" w:eastAsia="方正仿宋_GBK"/>
          <w:sz w:val="32"/>
          <w:szCs w:val="32"/>
        </w:rPr>
        <w:t>，优化</w:t>
      </w:r>
      <w:r>
        <w:rPr>
          <w:rFonts w:hint="eastAsia" w:ascii="方正仿宋_GBK" w:hAnsi="Times New Roman" w:eastAsia="方正仿宋_GBK"/>
          <w:sz w:val="32"/>
          <w:szCs w:val="32"/>
        </w:rPr>
        <w:t>联动指挥</w:t>
      </w:r>
      <w:r>
        <w:rPr>
          <w:rFonts w:ascii="方正仿宋_GBK" w:hAnsi="Times New Roman" w:eastAsia="方正仿宋_GBK"/>
          <w:sz w:val="32"/>
          <w:szCs w:val="32"/>
        </w:rPr>
        <w:t>和</w:t>
      </w:r>
      <w:r>
        <w:rPr>
          <w:rFonts w:hint="eastAsia" w:ascii="方正仿宋_GBK" w:hAnsi="Times New Roman" w:eastAsia="方正仿宋_GBK"/>
          <w:sz w:val="32"/>
          <w:szCs w:val="32"/>
        </w:rPr>
        <w:t>救援</w:t>
      </w:r>
      <w:r>
        <w:rPr>
          <w:rFonts w:ascii="方正仿宋_GBK" w:hAnsi="Times New Roman" w:eastAsia="方正仿宋_GBK"/>
          <w:sz w:val="32"/>
          <w:szCs w:val="32"/>
        </w:rPr>
        <w:t>保障机制，提升应急救援能力</w:t>
      </w:r>
      <w:r>
        <w:rPr>
          <w:rFonts w:hint="eastAsia" w:ascii="方正仿宋_GBK" w:hAnsi="Times New Roman" w:eastAsia="方正仿宋_GBK"/>
          <w:sz w:val="32"/>
          <w:szCs w:val="32"/>
        </w:rPr>
        <w:t>。</w:t>
      </w:r>
    </w:p>
    <w:p w14:paraId="54F31F93">
      <w:pPr>
        <w:pStyle w:val="6"/>
        <w:adjustRightInd w:val="0"/>
        <w:snapToGrid w:val="0"/>
        <w:spacing w:before="0" w:after="0" w:line="579" w:lineRule="exact"/>
        <w:ind w:firstLine="640" w:firstLineChars="200"/>
        <w:rPr>
          <w:rFonts w:ascii="方正仿宋_GBK" w:hAnsi="宋体" w:eastAsia="方正仿宋_GBK"/>
        </w:rPr>
      </w:pPr>
      <w:bookmarkStart w:id="67" w:name="_Toc87275340"/>
      <w:r>
        <w:rPr>
          <w:rFonts w:ascii="方正仿宋_GBK" w:hAnsi="宋体" w:eastAsia="方正仿宋_GBK"/>
        </w:rPr>
        <w:t>4</w:t>
      </w:r>
      <w:r>
        <w:rPr>
          <w:rFonts w:hint="eastAsia" w:ascii="方正仿宋_GBK" w:hAnsi="宋体" w:eastAsia="方正仿宋_GBK"/>
        </w:rPr>
        <w:t>.加强各领域专家队伍建设</w:t>
      </w:r>
      <w:bookmarkEnd w:id="67"/>
    </w:p>
    <w:p w14:paraId="22C1C005">
      <w:pPr>
        <w:pStyle w:val="67"/>
        <w:spacing w:line="579" w:lineRule="exact"/>
        <w:ind w:firstLine="640"/>
        <w:rPr>
          <w:rFonts w:ascii="方正仿宋_GBK" w:hAnsi="Times New Roman" w:eastAsia="方正仿宋_GBK"/>
          <w:sz w:val="32"/>
          <w:szCs w:val="32"/>
        </w:rPr>
      </w:pPr>
      <w:r>
        <w:rPr>
          <w:rFonts w:hint="eastAsia" w:ascii="方正仿宋_GBK" w:hAnsi="Times New Roman" w:eastAsia="方正仿宋_GBK"/>
          <w:sz w:val="32"/>
          <w:szCs w:val="32"/>
        </w:rPr>
        <w:t>建立以防汛抗旱、抗震救灾、森林防火、铁路事故救援、危险化学品事故救援、医疗救护、动物疫情处置等行业领域为主的专家资源库，完善专家咨询机制，完善专家资源数据的安全共享机制。</w:t>
      </w:r>
    </w:p>
    <w:p w14:paraId="6DD95B89">
      <w:pPr>
        <w:pStyle w:val="6"/>
        <w:adjustRightInd w:val="0"/>
        <w:snapToGrid w:val="0"/>
        <w:spacing w:before="0" w:after="0" w:line="579" w:lineRule="exact"/>
        <w:ind w:firstLine="640" w:firstLineChars="200"/>
        <w:rPr>
          <w:rFonts w:ascii="方正仿宋_GBK" w:hAnsi="宋体" w:eastAsia="方正仿宋_GBK"/>
        </w:rPr>
      </w:pPr>
      <w:bookmarkStart w:id="68" w:name="_Toc87275341"/>
      <w:r>
        <w:rPr>
          <w:rFonts w:ascii="方正仿宋_GBK" w:hAnsi="宋体" w:eastAsia="方正仿宋_GBK"/>
        </w:rPr>
        <w:t>5</w:t>
      </w:r>
      <w:r>
        <w:rPr>
          <w:rFonts w:hint="eastAsia" w:ascii="方正仿宋_GBK" w:hAnsi="宋体" w:eastAsia="方正仿宋_GBK"/>
        </w:rPr>
        <w:t>.鼓励社会应急救援力量发展</w:t>
      </w:r>
      <w:bookmarkEnd w:id="68"/>
    </w:p>
    <w:p w14:paraId="03A7E360">
      <w:pPr>
        <w:pStyle w:val="67"/>
        <w:spacing w:line="579" w:lineRule="exact"/>
        <w:ind w:firstLine="640"/>
        <w:rPr>
          <w:rFonts w:ascii="方正仿宋_GBK" w:hAnsi="Times New Roman" w:eastAsia="方正仿宋_GBK"/>
          <w:sz w:val="32"/>
          <w:szCs w:val="32"/>
        </w:rPr>
      </w:pPr>
      <w:r>
        <w:rPr>
          <w:rFonts w:hint="eastAsia" w:ascii="方正仿宋_GBK" w:hAnsi="Times New Roman" w:eastAsia="方正仿宋_GBK"/>
          <w:sz w:val="32"/>
          <w:szCs w:val="32"/>
        </w:rPr>
        <w:t>完善以企事业单位专兼职队伍、社会救援力量、志愿者团队等为辅助力量的社会化应急救援队伍组织管理和联动能力建设。</w:t>
      </w:r>
      <w:r>
        <w:rPr>
          <w:rFonts w:ascii="方正仿宋_GBK" w:hAnsi="Times New Roman" w:eastAsia="方正仿宋_GBK"/>
          <w:sz w:val="32"/>
          <w:szCs w:val="32"/>
        </w:rPr>
        <w:t>健全属地为主的社会应急力量调用</w:t>
      </w:r>
      <w:r>
        <w:rPr>
          <w:rFonts w:hint="eastAsia" w:ascii="方正仿宋_GBK" w:hAnsi="Times New Roman" w:eastAsia="方正仿宋_GBK"/>
          <w:sz w:val="32"/>
          <w:szCs w:val="32"/>
        </w:rPr>
        <w:t>和管理</w:t>
      </w:r>
      <w:r>
        <w:rPr>
          <w:rFonts w:ascii="方正仿宋_GBK" w:hAnsi="Times New Roman" w:eastAsia="方正仿宋_GBK"/>
          <w:sz w:val="32"/>
          <w:szCs w:val="32"/>
        </w:rPr>
        <w:t>机制，引导社会应急力量有序参与防灾减灾和应急</w:t>
      </w:r>
      <w:r>
        <w:rPr>
          <w:rFonts w:hint="eastAsia" w:ascii="方正仿宋_GBK" w:hAnsi="Times New Roman" w:eastAsia="方正仿宋_GBK"/>
          <w:sz w:val="32"/>
          <w:szCs w:val="32"/>
        </w:rPr>
        <w:t>救援</w:t>
      </w:r>
      <w:r>
        <w:rPr>
          <w:rFonts w:ascii="方正仿宋_GBK" w:hAnsi="Times New Roman" w:eastAsia="方正仿宋_GBK"/>
          <w:sz w:val="32"/>
          <w:szCs w:val="32"/>
        </w:rPr>
        <w:t>工作</w:t>
      </w:r>
      <w:r>
        <w:rPr>
          <w:rFonts w:hint="eastAsia" w:ascii="方正仿宋_GBK" w:hAnsi="Times New Roman" w:eastAsia="方正仿宋_GBK"/>
          <w:sz w:val="32"/>
          <w:szCs w:val="32"/>
        </w:rPr>
        <w:t>。</w:t>
      </w:r>
      <w:r>
        <w:rPr>
          <w:rFonts w:ascii="方正仿宋_GBK" w:hAnsi="Times New Roman" w:eastAsia="方正仿宋_GBK"/>
          <w:sz w:val="32"/>
          <w:szCs w:val="32"/>
        </w:rPr>
        <w:t>建立激励机制，按国家</w:t>
      </w:r>
      <w:r>
        <w:rPr>
          <w:rFonts w:hint="eastAsia" w:ascii="方正仿宋_GBK" w:hAnsi="Times New Roman" w:eastAsia="方正仿宋_GBK"/>
          <w:sz w:val="32"/>
          <w:szCs w:val="32"/>
        </w:rPr>
        <w:t>、市级</w:t>
      </w:r>
      <w:r>
        <w:rPr>
          <w:rFonts w:ascii="方正仿宋_GBK" w:hAnsi="Times New Roman" w:eastAsia="方正仿宋_GBK"/>
          <w:sz w:val="32"/>
          <w:szCs w:val="32"/>
        </w:rPr>
        <w:t>有关规定表彰或奖励做出重要贡献的社会</w:t>
      </w:r>
      <w:r>
        <w:rPr>
          <w:rFonts w:hint="eastAsia" w:ascii="方正仿宋_GBK" w:hAnsi="Times New Roman" w:eastAsia="方正仿宋_GBK"/>
          <w:sz w:val="32"/>
          <w:szCs w:val="32"/>
        </w:rPr>
        <w:t>救援</w:t>
      </w:r>
      <w:r>
        <w:rPr>
          <w:rFonts w:ascii="方正仿宋_GBK" w:hAnsi="Times New Roman" w:eastAsia="方正仿宋_GBK"/>
          <w:sz w:val="32"/>
          <w:szCs w:val="32"/>
        </w:rPr>
        <w:t>力量，明确因应急救援导致伤亡的抚恤政策</w:t>
      </w:r>
      <w:r>
        <w:rPr>
          <w:rFonts w:hint="eastAsia" w:ascii="方正仿宋_GBK" w:hAnsi="Times New Roman" w:eastAsia="方正仿宋_GBK"/>
          <w:sz w:val="32"/>
          <w:szCs w:val="32"/>
        </w:rPr>
        <w:t>。</w:t>
      </w:r>
      <w:r>
        <w:rPr>
          <w:rFonts w:ascii="方正仿宋_GBK" w:hAnsi="Times New Roman" w:eastAsia="方正仿宋_GBK"/>
          <w:sz w:val="32"/>
          <w:szCs w:val="32"/>
        </w:rPr>
        <w:t>将社会应急</w:t>
      </w:r>
      <w:r>
        <w:rPr>
          <w:rFonts w:hint="eastAsia" w:ascii="方正仿宋_GBK" w:hAnsi="Times New Roman" w:eastAsia="方正仿宋_GBK"/>
          <w:sz w:val="32"/>
          <w:szCs w:val="32"/>
        </w:rPr>
        <w:t>救援</w:t>
      </w:r>
      <w:r>
        <w:rPr>
          <w:rFonts w:ascii="方正仿宋_GBK" w:hAnsi="Times New Roman" w:eastAsia="方正仿宋_GBK"/>
          <w:sz w:val="32"/>
          <w:szCs w:val="32"/>
        </w:rPr>
        <w:t>力量参与防灾减灾和应急救援工作纳入政府购买服务范围。</w:t>
      </w:r>
    </w:p>
    <w:p w14:paraId="61D5FA66">
      <w:pPr>
        <w:pStyle w:val="6"/>
        <w:adjustRightInd w:val="0"/>
        <w:snapToGrid w:val="0"/>
        <w:spacing w:before="0" w:after="0" w:line="579" w:lineRule="exact"/>
        <w:ind w:firstLine="640" w:firstLineChars="200"/>
        <w:rPr>
          <w:rFonts w:ascii="方正仿宋_GBK" w:hAnsi="宋体" w:eastAsia="方正仿宋_GBK"/>
        </w:rPr>
      </w:pPr>
      <w:bookmarkStart w:id="69" w:name="_Toc87275342"/>
      <w:r>
        <w:rPr>
          <w:rFonts w:ascii="方正仿宋_GBK" w:hAnsi="宋体" w:eastAsia="方正仿宋_GBK"/>
        </w:rPr>
        <w:t>6</w:t>
      </w:r>
      <w:r>
        <w:rPr>
          <w:rFonts w:hint="eastAsia" w:ascii="方正仿宋_GBK" w:hAnsi="宋体" w:eastAsia="方正仿宋_GBK"/>
        </w:rPr>
        <w:t>.强化基层应急救援队伍建设</w:t>
      </w:r>
      <w:bookmarkEnd w:id="69"/>
    </w:p>
    <w:p w14:paraId="5C4C8C86">
      <w:pPr>
        <w:pStyle w:val="67"/>
        <w:spacing w:line="579" w:lineRule="exact"/>
        <w:ind w:firstLine="640"/>
        <w:rPr>
          <w:rFonts w:ascii="方正仿宋_GBK" w:hAnsi="Times New Roman" w:eastAsia="方正仿宋_GBK"/>
          <w:sz w:val="32"/>
          <w:szCs w:val="32"/>
        </w:rPr>
      </w:pPr>
      <w:r>
        <w:rPr>
          <w:rFonts w:hint="eastAsia" w:ascii="方正仿宋_GBK" w:hAnsi="Times New Roman" w:eastAsia="方正仿宋_GBK"/>
          <w:sz w:val="32"/>
          <w:szCs w:val="32"/>
        </w:rPr>
        <w:t>实施靠前布防、强化一线，将</w:t>
      </w:r>
      <w:bookmarkStart w:id="70" w:name="_Hlk22938423"/>
      <w:r>
        <w:rPr>
          <w:rFonts w:hint="eastAsia" w:ascii="方正仿宋_GBK" w:hAnsi="Times New Roman" w:eastAsia="方正仿宋_GBK"/>
          <w:sz w:val="32"/>
          <w:szCs w:val="32"/>
        </w:rPr>
        <w:t>应急救援</w:t>
      </w:r>
      <w:bookmarkEnd w:id="70"/>
      <w:r>
        <w:rPr>
          <w:rFonts w:hint="eastAsia" w:ascii="方正仿宋_GBK" w:hAnsi="Times New Roman" w:eastAsia="方正仿宋_GBK"/>
          <w:sz w:val="32"/>
          <w:szCs w:val="32"/>
        </w:rPr>
        <w:t>力量延伸到“最末梢”，全面推行基层（街道）应急办“一规范、六个专”规范化建设，规范职能职责，加强基层应急救援队伍的装备配置和专业化能力实训工作。</w:t>
      </w:r>
    </w:p>
    <w:p w14:paraId="4AA8B2B1">
      <w:pPr>
        <w:pStyle w:val="6"/>
        <w:adjustRightInd w:val="0"/>
        <w:snapToGrid w:val="0"/>
        <w:spacing w:before="0" w:after="0" w:line="579" w:lineRule="exact"/>
        <w:ind w:firstLine="640" w:firstLineChars="200"/>
        <w:rPr>
          <w:rFonts w:ascii="方正仿宋_GBK" w:hAnsi="宋体" w:eastAsia="方正仿宋_GBK"/>
        </w:rPr>
      </w:pPr>
      <w:bookmarkStart w:id="71" w:name="_Toc87275343"/>
      <w:r>
        <w:rPr>
          <w:rFonts w:ascii="方正仿宋_GBK" w:hAnsi="宋体" w:eastAsia="方正仿宋_GBK"/>
        </w:rPr>
        <w:t>7</w:t>
      </w:r>
      <w:r>
        <w:rPr>
          <w:rFonts w:hint="eastAsia" w:ascii="方正仿宋_GBK" w:hAnsi="宋体" w:eastAsia="方正仿宋_GBK"/>
        </w:rPr>
        <w:t>.提升应急救援队伍专业水平</w:t>
      </w:r>
      <w:bookmarkEnd w:id="71"/>
    </w:p>
    <w:p w14:paraId="7303E90E">
      <w:pPr>
        <w:pStyle w:val="67"/>
        <w:spacing w:line="579" w:lineRule="exact"/>
        <w:ind w:firstLine="640"/>
        <w:rPr>
          <w:rFonts w:ascii="方正仿宋_GBK" w:hAnsi="Times New Roman" w:eastAsia="方正仿宋_GBK"/>
          <w:sz w:val="32"/>
          <w:szCs w:val="32"/>
        </w:rPr>
      </w:pPr>
      <w:r>
        <w:rPr>
          <w:rFonts w:hint="eastAsia" w:ascii="方正仿宋_GBK" w:hAnsi="Times New Roman" w:eastAsia="方正仿宋_GBK"/>
          <w:sz w:val="32"/>
          <w:szCs w:val="32"/>
        </w:rPr>
        <w:t>通过请进来与走出去相结合的方式，采取集中办班、专题讲座、网络教学、入校培训、岗位轮训等方式，开展专业知识培训。通过按纲施训，形成以岗位基本操作训练为基础，以体能训练为保障，以战术训练为重点的训练体系。通过常态性的开展各项应急演练、实战训练，增强各类救援队伍的合成训练、联合培训、联动演练，全面提升应急救援队伍专业技能和综合应急、协同应急能力。</w:t>
      </w:r>
    </w:p>
    <w:p w14:paraId="6AA27330">
      <w:pPr>
        <w:pStyle w:val="6"/>
        <w:adjustRightInd w:val="0"/>
        <w:snapToGrid w:val="0"/>
        <w:spacing w:before="0" w:after="0" w:line="579" w:lineRule="exact"/>
        <w:ind w:firstLine="640" w:firstLineChars="200"/>
        <w:rPr>
          <w:rFonts w:ascii="方正仿宋_GBK" w:hAnsi="宋体" w:eastAsia="方正仿宋_GBK"/>
        </w:rPr>
      </w:pPr>
      <w:bookmarkStart w:id="72" w:name="_Toc87275344"/>
      <w:r>
        <w:rPr>
          <w:rFonts w:ascii="方正仿宋_GBK" w:hAnsi="宋体" w:eastAsia="方正仿宋_GBK"/>
        </w:rPr>
        <w:t>8</w:t>
      </w:r>
      <w:r>
        <w:rPr>
          <w:rFonts w:hint="eastAsia" w:ascii="方正仿宋_GBK" w:hAnsi="宋体" w:eastAsia="方正仿宋_GBK"/>
        </w:rPr>
        <w:t>.提升应急救援队伍科技水平</w:t>
      </w:r>
      <w:bookmarkEnd w:id="72"/>
    </w:p>
    <w:p w14:paraId="6D8727E8">
      <w:pPr>
        <w:pStyle w:val="67"/>
        <w:spacing w:line="579" w:lineRule="exact"/>
        <w:ind w:firstLine="640"/>
        <w:rPr>
          <w:rFonts w:ascii="方正仿宋_GBK" w:hAnsi="Times New Roman" w:eastAsia="方正仿宋_GBK"/>
          <w:sz w:val="32"/>
          <w:szCs w:val="32"/>
        </w:rPr>
      </w:pPr>
      <w:r>
        <w:rPr>
          <w:rFonts w:hint="eastAsia" w:ascii="方正仿宋_GBK" w:hAnsi="Times New Roman" w:eastAsia="方正仿宋_GBK"/>
          <w:sz w:val="32"/>
          <w:szCs w:val="32"/>
        </w:rPr>
        <w:t>通过技术革新、装备更新、资源优化配置，打造攻坚克难的救援队伍，提高应急救援技术装备水平，积极应用先进研发成果，加强机动灵活、适应性强的专业救援装备配备，切实提升应急救援队伍的专业救援能力。</w:t>
      </w:r>
    </w:p>
    <w:p w14:paraId="54445006">
      <w:pPr>
        <w:pStyle w:val="5"/>
        <w:keepNext/>
        <w:keepLines/>
        <w:spacing w:before="0" w:line="579" w:lineRule="exact"/>
        <w:ind w:firstLine="640" w:firstLineChars="200"/>
        <w:rPr>
          <w:rFonts w:ascii="方正楷体_GBK" w:hAnsi="Times New Roman" w:eastAsia="方正楷体_GBK"/>
          <w:b w:val="0"/>
          <w:bCs/>
          <w:sz w:val="32"/>
          <w:szCs w:val="32"/>
        </w:rPr>
      </w:pPr>
      <w:bookmarkStart w:id="73" w:name="_Toc87275345"/>
      <w:bookmarkStart w:id="74" w:name="_Toc75618158"/>
      <w:bookmarkStart w:id="75" w:name="_Toc12200254"/>
      <w:bookmarkStart w:id="76" w:name="_Toc12200232"/>
      <w:bookmarkStart w:id="77" w:name="_Toc12200253"/>
      <w:r>
        <w:rPr>
          <w:rFonts w:hint="eastAsia" w:ascii="方正楷体_GBK" w:hAnsi="Times New Roman" w:eastAsia="方正楷体_GBK"/>
          <w:b w:val="0"/>
          <w:bCs/>
          <w:sz w:val="32"/>
          <w:szCs w:val="32"/>
        </w:rPr>
        <w:t>（四）促进应急资源保障能力建设</w:t>
      </w:r>
      <w:bookmarkEnd w:id="73"/>
      <w:bookmarkEnd w:id="74"/>
    </w:p>
    <w:p w14:paraId="5119C22E">
      <w:pPr>
        <w:pStyle w:val="20"/>
        <w:spacing w:after="0" w:line="579" w:lineRule="exact"/>
        <w:ind w:firstLine="640" w:firstLineChars="200"/>
        <w:rPr>
          <w:rFonts w:ascii="方正仿宋_GBK" w:eastAsia="方正仿宋_GBK"/>
          <w:szCs w:val="32"/>
        </w:rPr>
      </w:pPr>
      <w:r>
        <w:rPr>
          <w:rFonts w:hint="eastAsia" w:ascii="方正仿宋_GBK" w:eastAsia="方正仿宋_GBK"/>
          <w:color w:val="000000" w:themeColor="text1"/>
          <w:szCs w:val="32"/>
          <w14:textFill>
            <w14:solidFill>
              <w14:schemeClr w14:val="tx1"/>
            </w14:solidFill>
          </w14:textFill>
        </w:rPr>
        <w:t>完善我区应急资源保障机制体制建设，</w:t>
      </w:r>
      <w:r>
        <w:rPr>
          <w:rFonts w:hint="eastAsia" w:ascii="方正仿宋_GBK" w:eastAsia="方正仿宋_GBK"/>
          <w:szCs w:val="32"/>
        </w:rPr>
        <w:t>加强应急队伍、救灾物资、救援装备、装备物资企业、运输保障资源、通讯保障资源、医疗卫生资源和重点避难场所建设。</w:t>
      </w:r>
    </w:p>
    <w:p w14:paraId="02509667">
      <w:pPr>
        <w:pStyle w:val="6"/>
        <w:adjustRightInd w:val="0"/>
        <w:snapToGrid w:val="0"/>
        <w:spacing w:before="0" w:after="0" w:line="579" w:lineRule="exact"/>
        <w:ind w:firstLine="640" w:firstLineChars="200"/>
        <w:rPr>
          <w:rFonts w:ascii="方正仿宋_GBK" w:hAnsi="宋体" w:eastAsia="方正仿宋_GBK"/>
        </w:rPr>
      </w:pPr>
      <w:bookmarkStart w:id="78" w:name="_Toc87275346"/>
      <w:r>
        <w:rPr>
          <w:rFonts w:ascii="方正仿宋_GBK" w:hAnsi="宋体" w:eastAsia="方正仿宋_GBK"/>
        </w:rPr>
        <w:t>1</w:t>
      </w:r>
      <w:r>
        <w:rPr>
          <w:rFonts w:hint="eastAsia" w:ascii="方正仿宋_GBK" w:hAnsi="宋体" w:eastAsia="方正仿宋_GBK"/>
        </w:rPr>
        <w:t>.完善应急资源管理机制</w:t>
      </w:r>
      <w:bookmarkEnd w:id="78"/>
    </w:p>
    <w:p w14:paraId="03028CB9">
      <w:pPr>
        <w:pStyle w:val="4"/>
        <w:spacing w:line="579" w:lineRule="exact"/>
        <w:ind w:firstLine="640"/>
        <w:rPr>
          <w:rFonts w:ascii="方正仿宋_GBK" w:eastAsia="方正仿宋_GBK"/>
          <w:szCs w:val="32"/>
        </w:rPr>
      </w:pPr>
      <w:r>
        <w:rPr>
          <w:rFonts w:hint="eastAsia" w:ascii="方正仿宋_GBK" w:eastAsia="方正仿宋_GBK"/>
          <w:szCs w:val="32"/>
        </w:rPr>
        <w:t>完善应急物资管理机制和政策体系，建立跨部门、跨区域应急物资协同保障、信息共享和应急联动机制。按照“集中管理、统一调拨、平时服务、灾时应急、采储结合、节约高效”的原则，进一步明确物资管理、储备、调运、使用、回收、进退出保障工作机制。充分依托国家应急资源管理平台，整合应急物资保障数据资源，加强应急物资分类编码和信息化管理，推动大数据、物联网等技术在应急物资管理方面的应用。</w:t>
      </w:r>
    </w:p>
    <w:p w14:paraId="4D2C0BBD">
      <w:pPr>
        <w:pStyle w:val="6"/>
        <w:adjustRightInd w:val="0"/>
        <w:snapToGrid w:val="0"/>
        <w:spacing w:before="0" w:after="0" w:line="579" w:lineRule="exact"/>
        <w:ind w:firstLine="640" w:firstLineChars="200"/>
        <w:rPr>
          <w:rFonts w:ascii="方正仿宋_GBK" w:hAnsi="宋体" w:eastAsia="方正仿宋_GBK"/>
        </w:rPr>
      </w:pPr>
      <w:bookmarkStart w:id="79" w:name="_Toc87275347"/>
      <w:r>
        <w:rPr>
          <w:rFonts w:ascii="方正仿宋_GBK" w:hAnsi="宋体" w:eastAsia="方正仿宋_GBK"/>
        </w:rPr>
        <w:t>2</w:t>
      </w:r>
      <w:r>
        <w:rPr>
          <w:rFonts w:hint="eastAsia" w:ascii="方正仿宋_GBK" w:hAnsi="宋体" w:eastAsia="方正仿宋_GBK"/>
        </w:rPr>
        <w:t>.强化应急物资保障能力</w:t>
      </w:r>
      <w:bookmarkEnd w:id="79"/>
    </w:p>
    <w:p w14:paraId="60E3A563">
      <w:pPr>
        <w:pStyle w:val="4"/>
        <w:spacing w:line="579" w:lineRule="exact"/>
        <w:ind w:firstLine="640"/>
        <w:rPr>
          <w:rFonts w:ascii="方正仿宋_GBK" w:eastAsia="方正仿宋_GBK"/>
          <w:szCs w:val="32"/>
        </w:rPr>
      </w:pPr>
      <w:r>
        <w:rPr>
          <w:rFonts w:hint="eastAsia" w:ascii="方正仿宋_GBK" w:eastAsia="方正仿宋_GBK"/>
          <w:szCs w:val="32"/>
        </w:rPr>
        <w:t>完善全区救灾物资统一管理、跟踪、储备库管理、救灾捐赠管理、损失评估、分类统计能力建设。健全实物储备和产能储备相结合、政府储备和商业储备相结合、军队储备和地方储备相融合的应急物资储备模式。建立以中央库为依托、市级库（含区域库）为主体、本级物资库库为支撑、街道储备点为基础、社区储存室（间）为补充的五级应急物资保障体系。按照国家应急物资储备指导目录，加强本级库物资储备，紧急转移安置物资储备保障按照百万以上人口区县标准应达到5000人。针对重要民生商品等应急物资，支持社会责任储备建设，建立健全重点企业最低库存制度。建立完备的应急保障物资生产、转产、捐赠、仓储、分发、集散等科学高效的应急物资调度管理大数据支撑体系。</w:t>
      </w:r>
    </w:p>
    <w:p w14:paraId="040ED000">
      <w:pPr>
        <w:pStyle w:val="6"/>
        <w:adjustRightInd w:val="0"/>
        <w:snapToGrid w:val="0"/>
        <w:spacing w:before="0" w:after="0" w:line="579" w:lineRule="exact"/>
        <w:ind w:firstLine="640" w:firstLineChars="200"/>
        <w:rPr>
          <w:rFonts w:ascii="方正仿宋_GBK" w:hAnsi="宋体" w:eastAsia="方正仿宋_GBK"/>
        </w:rPr>
      </w:pPr>
      <w:bookmarkStart w:id="80" w:name="_Toc87275348"/>
      <w:r>
        <w:rPr>
          <w:rFonts w:ascii="方正仿宋_GBK" w:hAnsi="宋体" w:eastAsia="方正仿宋_GBK"/>
        </w:rPr>
        <w:t>3</w:t>
      </w:r>
      <w:r>
        <w:rPr>
          <w:rFonts w:hint="eastAsia" w:ascii="方正仿宋_GBK" w:hAnsi="宋体" w:eastAsia="方正仿宋_GBK"/>
        </w:rPr>
        <w:t>.强化应急装备保障能力</w:t>
      </w:r>
      <w:bookmarkEnd w:id="80"/>
    </w:p>
    <w:p w14:paraId="3952243B">
      <w:pPr>
        <w:pStyle w:val="4"/>
        <w:spacing w:line="579" w:lineRule="exact"/>
        <w:ind w:firstLine="640"/>
        <w:rPr>
          <w:rFonts w:ascii="方正仿宋_GBK" w:eastAsia="方正仿宋_GBK"/>
          <w:szCs w:val="32"/>
        </w:rPr>
      </w:pPr>
      <w:r>
        <w:rPr>
          <w:rFonts w:hint="eastAsia" w:ascii="方正仿宋_GBK" w:eastAsia="方正仿宋_GBK"/>
          <w:szCs w:val="32"/>
        </w:rPr>
        <w:t>加强</w:t>
      </w:r>
      <w:r>
        <w:rPr>
          <w:rFonts w:ascii="方正仿宋_GBK" w:eastAsia="方正仿宋_GBK"/>
          <w:szCs w:val="32"/>
        </w:rPr>
        <w:t>应急指挥通讯、智能无人救援、特种救援等方面的设备装备</w:t>
      </w:r>
      <w:r>
        <w:rPr>
          <w:rFonts w:hint="eastAsia" w:ascii="方正仿宋_GBK" w:eastAsia="方正仿宋_GBK"/>
          <w:szCs w:val="32"/>
        </w:rPr>
        <w:t>的补充</w:t>
      </w:r>
      <w:r>
        <w:rPr>
          <w:rFonts w:ascii="方正仿宋_GBK" w:eastAsia="方正仿宋_GBK"/>
          <w:szCs w:val="32"/>
        </w:rPr>
        <w:t>建设</w:t>
      </w:r>
      <w:r>
        <w:rPr>
          <w:rFonts w:hint="eastAsia" w:ascii="方正仿宋_GBK" w:eastAsia="方正仿宋_GBK"/>
          <w:szCs w:val="32"/>
        </w:rPr>
        <w:t>。完善全区救援装备数据登记、审核、分类管理和统计能力建设。</w:t>
      </w:r>
    </w:p>
    <w:p w14:paraId="61141448">
      <w:pPr>
        <w:pStyle w:val="6"/>
        <w:adjustRightInd w:val="0"/>
        <w:snapToGrid w:val="0"/>
        <w:spacing w:before="0" w:after="0" w:line="579" w:lineRule="exact"/>
        <w:ind w:firstLine="640" w:firstLineChars="200"/>
        <w:rPr>
          <w:rFonts w:ascii="方正仿宋_GBK" w:eastAsia="方正仿宋_GBK"/>
          <w:b w:val="0"/>
        </w:rPr>
      </w:pPr>
      <w:bookmarkStart w:id="81" w:name="_Toc87275349"/>
      <w:r>
        <w:rPr>
          <w:rFonts w:ascii="方正仿宋_GBK" w:eastAsia="方正仿宋_GBK"/>
        </w:rPr>
        <w:t>4</w:t>
      </w:r>
      <w:r>
        <w:rPr>
          <w:rFonts w:hint="eastAsia" w:ascii="方正仿宋_GBK" w:eastAsia="方正仿宋_GBK"/>
        </w:rPr>
        <w:t>.强化装备物资生产企业管理能力</w:t>
      </w:r>
      <w:bookmarkEnd w:id="81"/>
    </w:p>
    <w:p w14:paraId="4F475CB3">
      <w:pPr>
        <w:pStyle w:val="4"/>
        <w:spacing w:line="579" w:lineRule="exact"/>
        <w:ind w:firstLine="640"/>
        <w:rPr>
          <w:rFonts w:ascii="方正仿宋_GBK" w:eastAsia="方正仿宋_GBK"/>
          <w:szCs w:val="32"/>
        </w:rPr>
      </w:pPr>
      <w:r>
        <w:rPr>
          <w:rFonts w:hint="eastAsia" w:ascii="方正仿宋_GBK" w:eastAsia="方正仿宋_GBK"/>
          <w:szCs w:val="32"/>
        </w:rPr>
        <w:t>完善全区重点装备物资生产、存储和运输企业信息的集中管理，完善市场准入机制，建立全区装备物资企业的管理机制，建立企业转产能力评估模型。</w:t>
      </w:r>
    </w:p>
    <w:p w14:paraId="0DDBD5AC">
      <w:pPr>
        <w:pStyle w:val="6"/>
        <w:adjustRightInd w:val="0"/>
        <w:snapToGrid w:val="0"/>
        <w:spacing w:before="0" w:after="0" w:line="579" w:lineRule="exact"/>
        <w:ind w:firstLine="640" w:firstLineChars="200"/>
        <w:rPr>
          <w:rFonts w:ascii="方正仿宋_GBK" w:hAnsi="宋体" w:eastAsia="方正仿宋_GBK"/>
        </w:rPr>
      </w:pPr>
      <w:bookmarkStart w:id="82" w:name="_Toc87275350"/>
      <w:r>
        <w:rPr>
          <w:rFonts w:ascii="方正仿宋_GBK" w:hAnsi="宋体" w:eastAsia="方正仿宋_GBK"/>
        </w:rPr>
        <w:t>5</w:t>
      </w:r>
      <w:r>
        <w:rPr>
          <w:rFonts w:hint="eastAsia" w:ascii="方正仿宋_GBK" w:hAnsi="宋体" w:eastAsia="方正仿宋_GBK"/>
        </w:rPr>
        <w:t>.强化重点应急避难场所保障能力</w:t>
      </w:r>
      <w:bookmarkEnd w:id="82"/>
    </w:p>
    <w:p w14:paraId="2694BF90">
      <w:pPr>
        <w:pStyle w:val="4"/>
        <w:spacing w:line="579" w:lineRule="exact"/>
        <w:ind w:firstLine="640"/>
        <w:rPr>
          <w:rFonts w:ascii="方正仿宋_GBK" w:eastAsia="方正仿宋_GBK"/>
          <w:szCs w:val="32"/>
        </w:rPr>
      </w:pPr>
      <w:r>
        <w:rPr>
          <w:rFonts w:hint="eastAsia" w:ascii="方正仿宋_GBK" w:eastAsia="方正仿宋_GBK"/>
          <w:szCs w:val="32"/>
        </w:rPr>
        <w:t>将应急重点工程避难设施信息进行集中管理，包括应急重点工程避难设施登记、分类管理、空间分析能力建设。</w:t>
      </w:r>
    </w:p>
    <w:p w14:paraId="15D0BA2F">
      <w:pPr>
        <w:pStyle w:val="6"/>
        <w:adjustRightInd w:val="0"/>
        <w:snapToGrid w:val="0"/>
        <w:spacing w:before="0" w:after="0" w:line="579" w:lineRule="exact"/>
        <w:ind w:firstLine="640" w:firstLineChars="200"/>
        <w:rPr>
          <w:rFonts w:ascii="方正仿宋_GBK" w:hAnsi="宋体" w:eastAsia="方正仿宋_GBK"/>
        </w:rPr>
      </w:pPr>
      <w:bookmarkStart w:id="83" w:name="_Toc87275351"/>
      <w:r>
        <w:rPr>
          <w:rFonts w:ascii="方正仿宋_GBK" w:hAnsi="宋体" w:eastAsia="方正仿宋_GBK"/>
        </w:rPr>
        <w:t>6</w:t>
      </w:r>
      <w:r>
        <w:rPr>
          <w:rFonts w:hint="eastAsia" w:ascii="方正仿宋_GBK" w:hAnsi="宋体" w:eastAsia="方正仿宋_GBK"/>
        </w:rPr>
        <w:t>.其他保障能力建设</w:t>
      </w:r>
      <w:bookmarkEnd w:id="83"/>
    </w:p>
    <w:p w14:paraId="1C27B0FE">
      <w:pPr>
        <w:pStyle w:val="4"/>
        <w:spacing w:line="579" w:lineRule="exact"/>
        <w:ind w:firstLine="640"/>
        <w:rPr>
          <w:rFonts w:ascii="方正仿宋_GBK" w:eastAsia="方正仿宋_GBK"/>
          <w:szCs w:val="32"/>
        </w:rPr>
      </w:pPr>
      <w:r>
        <w:rPr>
          <w:rFonts w:hint="eastAsia" w:ascii="方正仿宋_GBK" w:eastAsia="方正仿宋_GBK"/>
          <w:szCs w:val="32"/>
        </w:rPr>
        <w:t>统筹推进交通运输、医疗卫生、通信能力保障，健全统筹协调和联动指挥机制，提升应急运输保障、医疗救助保障和通信资源保障能力建设。</w:t>
      </w:r>
    </w:p>
    <w:bookmarkEnd w:id="42"/>
    <w:bookmarkEnd w:id="75"/>
    <w:bookmarkEnd w:id="76"/>
    <w:bookmarkEnd w:id="77"/>
    <w:p w14:paraId="31A5EA69">
      <w:pPr>
        <w:pStyle w:val="5"/>
        <w:keepNext/>
        <w:keepLines/>
        <w:spacing w:before="0" w:line="579" w:lineRule="exact"/>
        <w:ind w:firstLine="640" w:firstLineChars="200"/>
        <w:rPr>
          <w:rFonts w:ascii="方正楷体_GBK" w:hAnsi="Times New Roman" w:eastAsia="方正楷体_GBK"/>
          <w:b w:val="0"/>
          <w:bCs/>
          <w:sz w:val="32"/>
          <w:szCs w:val="32"/>
        </w:rPr>
      </w:pPr>
      <w:bookmarkStart w:id="84" w:name="_Toc75618159"/>
      <w:bookmarkStart w:id="85" w:name="_Toc87275352"/>
      <w:bookmarkStart w:id="86" w:name="_Toc12200233"/>
      <w:r>
        <w:rPr>
          <w:rFonts w:hint="eastAsia" w:ascii="方正楷体_GBK" w:hAnsi="Times New Roman" w:eastAsia="方正楷体_GBK"/>
          <w:b w:val="0"/>
          <w:bCs/>
          <w:sz w:val="32"/>
          <w:szCs w:val="32"/>
        </w:rPr>
        <w:t>（五）加强安全文化教育培训建设</w:t>
      </w:r>
      <w:bookmarkEnd w:id="84"/>
      <w:bookmarkEnd w:id="85"/>
    </w:p>
    <w:p w14:paraId="07321638">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进一步提升全区社会安全意识，加强安全文化建设对安全生产工作具有积极促进作用，充分调动社会各界参与安全、学习安全、重视安全的积极性，防止和减少生产安全事故，加强自然灾害防治，保障人民群众生命和财产安全。</w:t>
      </w:r>
    </w:p>
    <w:p w14:paraId="5136ED53">
      <w:pPr>
        <w:pStyle w:val="6"/>
        <w:adjustRightInd w:val="0"/>
        <w:snapToGrid w:val="0"/>
        <w:spacing w:before="0" w:after="0" w:line="579" w:lineRule="exact"/>
        <w:ind w:firstLine="640" w:firstLineChars="200"/>
        <w:rPr>
          <w:rFonts w:ascii="方正仿宋_GBK" w:hAnsi="宋体" w:eastAsia="方正仿宋_GBK"/>
        </w:rPr>
      </w:pPr>
      <w:bookmarkStart w:id="87" w:name="_Toc87275353"/>
      <w:r>
        <w:rPr>
          <w:rFonts w:ascii="方正仿宋_GBK" w:hAnsi="宋体" w:eastAsia="方正仿宋_GBK"/>
        </w:rPr>
        <w:t>1.</w:t>
      </w:r>
      <w:r>
        <w:rPr>
          <w:rFonts w:hint="eastAsia" w:ascii="方正仿宋_GBK" w:hAnsi="宋体" w:eastAsia="方正仿宋_GBK"/>
        </w:rPr>
        <w:t>加大安全文化教育培训联合宣传力度</w:t>
      </w:r>
      <w:bookmarkEnd w:id="87"/>
    </w:p>
    <w:p w14:paraId="37D1DE73">
      <w:pPr>
        <w:pStyle w:val="4"/>
        <w:spacing w:line="579" w:lineRule="exact"/>
        <w:ind w:firstLine="640"/>
        <w:rPr>
          <w:rFonts w:ascii="方正仿宋_GBK" w:eastAsia="方正仿宋_GBK"/>
          <w:color w:val="333333"/>
          <w:szCs w:val="32"/>
          <w:shd w:val="clear" w:color="auto" w:fill="FFFFFF"/>
        </w:rPr>
      </w:pPr>
      <w:r>
        <w:rPr>
          <w:rFonts w:hint="eastAsia" w:ascii="方正仿宋_GBK" w:eastAsia="方正仿宋_GBK"/>
          <w:szCs w:val="32"/>
        </w:rPr>
        <w:t>联合行业监管部门完善安全生产、防灾减灾、应急救援相关法律法规建设，加大法律法规宣传力度。积极开展与行业监管部门之间进行安全文化联合宣传教育的合作，提升安全活动举办效果，节约资源。每年至少举办1次安全文化教育联合普法宣传活动。</w:t>
      </w:r>
    </w:p>
    <w:p w14:paraId="61449A36">
      <w:pPr>
        <w:pStyle w:val="6"/>
        <w:adjustRightInd w:val="0"/>
        <w:snapToGrid w:val="0"/>
        <w:spacing w:before="0" w:after="0" w:line="579" w:lineRule="exact"/>
        <w:ind w:firstLine="640" w:firstLineChars="200"/>
        <w:rPr>
          <w:rFonts w:ascii="方正仿宋_GBK" w:hAnsi="宋体" w:eastAsia="方正仿宋_GBK"/>
        </w:rPr>
      </w:pPr>
      <w:bookmarkStart w:id="88" w:name="_Toc87275354"/>
      <w:r>
        <w:rPr>
          <w:rFonts w:ascii="方正仿宋_GBK" w:hAnsi="宋体" w:eastAsia="方正仿宋_GBK"/>
        </w:rPr>
        <w:t>2.</w:t>
      </w:r>
      <w:r>
        <w:rPr>
          <w:rFonts w:hint="eastAsia" w:ascii="方正仿宋_GBK" w:hAnsi="宋体" w:eastAsia="方正仿宋_GBK"/>
        </w:rPr>
        <w:t>加强企业、社区和群众安全文化意识</w:t>
      </w:r>
      <w:bookmarkEnd w:id="88"/>
    </w:p>
    <w:p w14:paraId="677FEAA6">
      <w:pPr>
        <w:pStyle w:val="4"/>
        <w:spacing w:line="579" w:lineRule="exact"/>
        <w:ind w:firstLine="640"/>
        <w:rPr>
          <w:rFonts w:ascii="方正仿宋_GBK" w:eastAsia="方正仿宋_GBK"/>
          <w:color w:val="333333"/>
          <w:szCs w:val="32"/>
          <w:shd w:val="clear" w:color="auto" w:fill="FFFFFF"/>
        </w:rPr>
      </w:pPr>
      <w:r>
        <w:rPr>
          <w:rFonts w:hint="eastAsia" w:ascii="方正仿宋_GBK" w:eastAsia="方正仿宋_GBK"/>
          <w:szCs w:val="32"/>
        </w:rPr>
        <w:t>加强知识技能培训，引导企业、社区和广大群众提升安全生产、自然灾害防治和应急救援的意识。号召全区范围内各中小学校、专业培训机构、企事业单位、社会团体、各级工会组织及广大群众参与安全文化建设中。</w:t>
      </w:r>
    </w:p>
    <w:p w14:paraId="62A83574">
      <w:pPr>
        <w:pStyle w:val="6"/>
        <w:adjustRightInd w:val="0"/>
        <w:snapToGrid w:val="0"/>
        <w:spacing w:before="0" w:after="0" w:line="579" w:lineRule="exact"/>
        <w:ind w:firstLine="640" w:firstLineChars="200"/>
        <w:rPr>
          <w:rFonts w:ascii="方正仿宋_GBK" w:hAnsi="宋体" w:eastAsia="方正仿宋_GBK"/>
        </w:rPr>
      </w:pPr>
      <w:bookmarkStart w:id="89" w:name="_Toc87275355"/>
      <w:r>
        <w:rPr>
          <w:rFonts w:ascii="方正仿宋_GBK" w:hAnsi="宋体" w:eastAsia="方正仿宋_GBK"/>
        </w:rPr>
        <w:t>3.</w:t>
      </w:r>
      <w:r>
        <w:rPr>
          <w:rFonts w:hint="eastAsia" w:ascii="方正仿宋_GBK" w:hAnsi="宋体" w:eastAsia="方正仿宋_GBK"/>
        </w:rPr>
        <w:t>加强安全文化活动宣传及传播手段</w:t>
      </w:r>
      <w:bookmarkEnd w:id="89"/>
    </w:p>
    <w:p w14:paraId="13A49BA5">
      <w:pPr>
        <w:pStyle w:val="4"/>
        <w:spacing w:line="579" w:lineRule="exact"/>
        <w:ind w:firstLine="640"/>
        <w:rPr>
          <w:rFonts w:ascii="方正仿宋_GBK" w:eastAsia="方正仿宋_GBK"/>
          <w:szCs w:val="32"/>
        </w:rPr>
      </w:pPr>
      <w:r>
        <w:rPr>
          <w:rFonts w:hint="eastAsia" w:ascii="方正仿宋_GBK" w:eastAsia="方正仿宋_GBK"/>
          <w:szCs w:val="32"/>
        </w:rPr>
        <w:t>加强出行安全、居家安全、消防安全、森林防火、防汛抗旱、地灾防治、应急救援、安全生产等有关安全活动和宣传力度。以“国际减灾日”“全国防灾减灾日”为平台，加强防灾减灾教育宣传，利用广播、电视、报刊、网络、短信、微信等传播手段，不断强化防灾减灾宣传进家庭、进校园、进社区、进企业，积极开展系列防灾减灾科普宣传教育活动。</w:t>
      </w:r>
    </w:p>
    <w:p w14:paraId="7B59499F">
      <w:pPr>
        <w:pStyle w:val="5"/>
        <w:keepNext/>
        <w:keepLines/>
        <w:spacing w:before="0" w:line="579" w:lineRule="exact"/>
        <w:ind w:firstLine="640" w:firstLineChars="200"/>
        <w:rPr>
          <w:rFonts w:ascii="方正楷体_GBK" w:hAnsi="Times New Roman" w:eastAsia="方正楷体_GBK"/>
          <w:b w:val="0"/>
          <w:bCs/>
          <w:sz w:val="32"/>
          <w:szCs w:val="32"/>
        </w:rPr>
      </w:pPr>
      <w:bookmarkStart w:id="90" w:name="_Toc87275356"/>
      <w:bookmarkStart w:id="91" w:name="_Toc75618160"/>
      <w:r>
        <w:rPr>
          <w:rFonts w:hint="eastAsia" w:ascii="方正楷体_GBK" w:hAnsi="Times New Roman" w:eastAsia="方正楷体_GBK"/>
          <w:b w:val="0"/>
          <w:bCs/>
          <w:sz w:val="32"/>
          <w:szCs w:val="32"/>
        </w:rPr>
        <w:t>（六）推动应急管理业态创新</w:t>
      </w:r>
      <w:bookmarkEnd w:id="90"/>
      <w:bookmarkEnd w:id="91"/>
    </w:p>
    <w:p w14:paraId="64EE73EB">
      <w:pPr>
        <w:pStyle w:val="6"/>
        <w:adjustRightInd w:val="0"/>
        <w:snapToGrid w:val="0"/>
        <w:spacing w:before="0" w:after="0" w:line="579" w:lineRule="exact"/>
        <w:ind w:firstLine="640" w:firstLineChars="200"/>
        <w:rPr>
          <w:rFonts w:ascii="方正仿宋_GBK" w:hAnsi="宋体" w:eastAsia="方正仿宋_GBK"/>
        </w:rPr>
      </w:pPr>
      <w:bookmarkStart w:id="92" w:name="_Toc66784348"/>
      <w:bookmarkStart w:id="93" w:name="_Toc65054014"/>
      <w:bookmarkStart w:id="94" w:name="_Toc65053955"/>
      <w:bookmarkStart w:id="95" w:name="_Toc13535"/>
      <w:bookmarkStart w:id="96" w:name="_Toc87275357"/>
      <w:bookmarkStart w:id="97" w:name="_Toc9896"/>
      <w:bookmarkStart w:id="98" w:name="_Toc32398"/>
      <w:r>
        <w:rPr>
          <w:rFonts w:ascii="方正仿宋_GBK" w:hAnsi="宋体" w:eastAsia="方正仿宋_GBK"/>
        </w:rPr>
        <w:t>1.人才</w:t>
      </w:r>
      <w:bookmarkEnd w:id="92"/>
      <w:bookmarkEnd w:id="93"/>
      <w:bookmarkEnd w:id="94"/>
      <w:bookmarkEnd w:id="95"/>
      <w:r>
        <w:rPr>
          <w:rFonts w:hint="eastAsia" w:ascii="方正仿宋_GBK" w:hAnsi="宋体" w:eastAsia="方正仿宋_GBK"/>
        </w:rPr>
        <w:t>创新</w:t>
      </w:r>
      <w:bookmarkEnd w:id="96"/>
      <w:bookmarkEnd w:id="97"/>
      <w:bookmarkEnd w:id="98"/>
    </w:p>
    <w:p w14:paraId="581FFD88">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优化应急管理队伍结构，配齐区级及以下各类应急管理干部队伍建设，提高应急管理干部队伍专业人才比例，构建结构合理、梯次完备、衔接有序的人才格局。加强应急系统人才交流机制，拓宽应急领域急需紧缺人才培育供给渠道，加强应急管理高端人才引进，出台人才引进政策，并鼓励采用购买服务等方式进行第三方应急管理专业人才引进。推动职业培训转型升级，完善人员定期培训和继续教育机制，开发面向各级领导干部的应急管理能力培训课程，将应急管理纳入我区党政领导干部必修内容，加强行业职业资格培训管理。联合高效加快应急管理学科建设，鼓励支持高校开设应急管理相关专业，推动完善应急管理类研究生教育、本科生教育和高等职业技术教育体系，促进“政产学研用”应急管理人才协同培养机制。推进应急管理智库建设，规范选聘流程，完善各领域专家资源管理机制，打造应急专家资源库，充分发挥各领域专家在技术服务、决策咨询、监督检查、抢险救援等方面的作用。</w:t>
      </w:r>
    </w:p>
    <w:p w14:paraId="465C6102">
      <w:pPr>
        <w:pStyle w:val="6"/>
        <w:adjustRightInd w:val="0"/>
        <w:snapToGrid w:val="0"/>
        <w:spacing w:before="0" w:after="0" w:line="579" w:lineRule="exact"/>
        <w:ind w:firstLine="640" w:firstLineChars="200"/>
        <w:rPr>
          <w:rFonts w:ascii="方正仿宋_GBK" w:hAnsi="宋体" w:eastAsia="方正仿宋_GBK"/>
        </w:rPr>
      </w:pPr>
      <w:bookmarkStart w:id="99" w:name="_Toc66784349"/>
      <w:bookmarkStart w:id="100" w:name="_Toc65053956"/>
      <w:bookmarkStart w:id="101" w:name="_Toc26447"/>
      <w:bookmarkStart w:id="102" w:name="_Toc65054015"/>
      <w:bookmarkStart w:id="103" w:name="_Toc26338"/>
      <w:bookmarkStart w:id="104" w:name="_Toc32305"/>
      <w:bookmarkStart w:id="105" w:name="_Toc87275358"/>
      <w:r>
        <w:rPr>
          <w:rFonts w:ascii="方正仿宋_GBK" w:hAnsi="宋体" w:eastAsia="方正仿宋_GBK"/>
        </w:rPr>
        <w:t>2.科技</w:t>
      </w:r>
      <w:bookmarkEnd w:id="99"/>
      <w:bookmarkEnd w:id="100"/>
      <w:bookmarkEnd w:id="101"/>
      <w:bookmarkEnd w:id="102"/>
      <w:r>
        <w:rPr>
          <w:rFonts w:hint="eastAsia" w:ascii="方正仿宋_GBK" w:hAnsi="宋体" w:eastAsia="方正仿宋_GBK"/>
        </w:rPr>
        <w:t>创新</w:t>
      </w:r>
      <w:bookmarkEnd w:id="103"/>
      <w:bookmarkEnd w:id="104"/>
      <w:bookmarkEnd w:id="105"/>
    </w:p>
    <w:p w14:paraId="0A79B577">
      <w:pPr>
        <w:pStyle w:val="4"/>
        <w:spacing w:line="579" w:lineRule="exact"/>
        <w:ind w:firstLine="640"/>
        <w:rPr>
          <w:rFonts w:ascii="方正仿宋_GBK" w:eastAsia="方正仿宋_GBK"/>
          <w:b/>
          <w:szCs w:val="32"/>
        </w:rPr>
      </w:pPr>
      <w:r>
        <w:rPr>
          <w:rFonts w:hint="eastAsia" w:ascii="方正仿宋_GBK" w:eastAsia="方正仿宋_GBK"/>
          <w:szCs w:val="32"/>
        </w:rPr>
        <w:t>立足需求，服务实战，推动与国内顶尖高等院校合作，促进应急管理学术成果转化与本地化应用。集中攻坚安全风险防控与治理、安全生产保障与重大事故防控、安全监测预警与控制、事故灾害感知识别、重大基础设施安全保障、综合应急技术装备等重点难点，提升科技创新能力和支撑水平。</w:t>
      </w:r>
    </w:p>
    <w:p w14:paraId="7D7D3170">
      <w:pPr>
        <w:pStyle w:val="6"/>
        <w:ind w:firstLine="628" w:firstLineChars="196"/>
        <w:rPr>
          <w:rFonts w:ascii="方正仿宋_GBK" w:eastAsia="方正仿宋_GBK"/>
        </w:rPr>
      </w:pPr>
      <w:bookmarkStart w:id="106" w:name="_Toc65053957"/>
      <w:bookmarkStart w:id="107" w:name="_Toc66784350"/>
      <w:bookmarkStart w:id="108" w:name="_Toc32536"/>
      <w:bookmarkStart w:id="109" w:name="_Toc65054016"/>
      <w:bookmarkStart w:id="110" w:name="_Toc87275359"/>
      <w:bookmarkStart w:id="111" w:name="_Toc15440"/>
      <w:bookmarkStart w:id="112" w:name="_Toc11844"/>
      <w:r>
        <w:rPr>
          <w:rFonts w:hint="eastAsia" w:ascii="方正仿宋_GBK" w:eastAsia="方正仿宋_GBK"/>
        </w:rPr>
        <w:t>3.产业</w:t>
      </w:r>
      <w:bookmarkEnd w:id="106"/>
      <w:bookmarkEnd w:id="107"/>
      <w:bookmarkEnd w:id="108"/>
      <w:bookmarkEnd w:id="109"/>
      <w:r>
        <w:rPr>
          <w:rFonts w:hint="eastAsia" w:ascii="方正仿宋_GBK" w:eastAsia="方正仿宋_GBK"/>
        </w:rPr>
        <w:t>创新</w:t>
      </w:r>
      <w:bookmarkEnd w:id="110"/>
      <w:bookmarkEnd w:id="111"/>
      <w:bookmarkEnd w:id="112"/>
    </w:p>
    <w:p w14:paraId="0FC50345">
      <w:pPr>
        <w:pStyle w:val="4"/>
        <w:spacing w:line="579" w:lineRule="exact"/>
        <w:ind w:firstLine="640"/>
        <w:rPr>
          <w:rFonts w:ascii="方正仿宋_GBK" w:eastAsia="方正仿宋_GBK"/>
          <w:b/>
          <w:szCs w:val="32"/>
        </w:rPr>
      </w:pPr>
      <w:r>
        <w:rPr>
          <w:rFonts w:hint="eastAsia" w:ascii="方正仿宋_GBK" w:eastAsia="方正仿宋_GBK"/>
          <w:szCs w:val="32"/>
        </w:rPr>
        <w:t>贯彻党的十九大和十九届五中、六中全会关于加快发展现代产业体系，推动经济体系优化升级的重要精神，参考韧性城市建设要求，紧抓机制改革新机遇，结合我区特色和应急管理工作需要，着眼未来，努力打造国家级应急产业创新示范基地。具体包括：（1）提升产业链供应链现代化水平，鼓励和推动应急物资及装备产业高端化、智能化、绿色化发展。（2）大力培育应急产业向着新技术、新产品、新业态、新模式的目标不断迈进。（3）加强基础技术应用，实施关键核心技术攻坚行动，夯实产业安全基础研究。（4）制定应急产业发展政策，鼓励有条件的企业生产应急产品，发展应急产业。（5）鼓励引导企业、高校、科研机构等培养研发人才和科研团队，搭建大众创业、万众创新平台。（6）制定应急产业发展培育计划，把应急产业纳入全区工业及相关服务业发展的总体布局，大力做好产业发展规划、产业基地布局、重点项目策划和专业招商引资。（7）加强物资生产企业转产能力建设。（8）建立应急产业生态体系，依托大数据技术，发展数字经济，推动数字经济和实体经济深度融合，打造具有竞争力的应急数字产业集群。</w:t>
      </w:r>
    </w:p>
    <w:p w14:paraId="6475E39D">
      <w:pPr>
        <w:pStyle w:val="6"/>
        <w:adjustRightInd w:val="0"/>
        <w:snapToGrid w:val="0"/>
        <w:spacing w:before="0" w:after="0" w:line="579" w:lineRule="exact"/>
        <w:ind w:firstLine="640" w:firstLineChars="200"/>
        <w:rPr>
          <w:rFonts w:ascii="方正仿宋_GBK" w:hAnsi="宋体" w:eastAsia="方正仿宋_GBK"/>
        </w:rPr>
      </w:pPr>
      <w:bookmarkStart w:id="113" w:name="_Toc65054017"/>
      <w:bookmarkStart w:id="114" w:name="_Toc66784351"/>
      <w:bookmarkStart w:id="115" w:name="_Toc30114"/>
      <w:bookmarkStart w:id="116" w:name="_Toc65053958"/>
      <w:bookmarkStart w:id="117" w:name="_Toc27121"/>
      <w:bookmarkStart w:id="118" w:name="_Toc87275360"/>
      <w:bookmarkStart w:id="119" w:name="_Toc23014"/>
      <w:r>
        <w:rPr>
          <w:rFonts w:ascii="方正仿宋_GBK" w:hAnsi="宋体" w:eastAsia="方正仿宋_GBK"/>
        </w:rPr>
        <w:t>4.技术</w:t>
      </w:r>
      <w:bookmarkEnd w:id="113"/>
      <w:bookmarkEnd w:id="114"/>
      <w:bookmarkEnd w:id="115"/>
      <w:bookmarkEnd w:id="116"/>
      <w:r>
        <w:rPr>
          <w:rFonts w:hint="eastAsia" w:ascii="方正仿宋_GBK" w:hAnsi="宋体" w:eastAsia="方正仿宋_GBK"/>
        </w:rPr>
        <w:t>创新</w:t>
      </w:r>
      <w:bookmarkEnd w:id="117"/>
      <w:bookmarkEnd w:id="118"/>
      <w:bookmarkEnd w:id="119"/>
    </w:p>
    <w:p w14:paraId="6DF5D0DA">
      <w:pPr>
        <w:pStyle w:val="4"/>
        <w:spacing w:line="579" w:lineRule="exact"/>
        <w:ind w:firstLine="640"/>
        <w:rPr>
          <w:rFonts w:ascii="方正仿宋_GBK" w:eastAsia="方正仿宋_GBK"/>
          <w:szCs w:val="32"/>
        </w:rPr>
      </w:pPr>
      <w:r>
        <w:rPr>
          <w:rFonts w:hint="eastAsia" w:ascii="方正仿宋_GBK" w:eastAsia="方正仿宋_GBK"/>
          <w:szCs w:val="32"/>
        </w:rPr>
        <w:t>促进</w:t>
      </w:r>
      <w:r>
        <w:rPr>
          <w:rFonts w:ascii="方正仿宋_GBK" w:eastAsia="方正仿宋_GBK"/>
          <w:szCs w:val="32"/>
        </w:rPr>
        <w:t>大数据、人工智能、区块链等新一代信息技术与应急管理业务有效融合</w:t>
      </w:r>
      <w:r>
        <w:rPr>
          <w:rFonts w:hint="eastAsia" w:ascii="方正仿宋_GBK" w:eastAsia="方正仿宋_GBK"/>
          <w:szCs w:val="32"/>
        </w:rPr>
        <w:t>。促进G</w:t>
      </w:r>
      <w:r>
        <w:rPr>
          <w:rFonts w:ascii="方正仿宋_GBK" w:eastAsia="方正仿宋_GBK"/>
          <w:szCs w:val="32"/>
        </w:rPr>
        <w:t>IS</w:t>
      </w:r>
      <w:r>
        <w:rPr>
          <w:rFonts w:hint="eastAsia" w:ascii="方正仿宋_GBK" w:eastAsia="方正仿宋_GBK"/>
          <w:szCs w:val="32"/>
        </w:rPr>
        <w:t>、B</w:t>
      </w:r>
      <w:r>
        <w:rPr>
          <w:rFonts w:ascii="方正仿宋_GBK" w:eastAsia="方正仿宋_GBK"/>
          <w:szCs w:val="32"/>
        </w:rPr>
        <w:t>IM</w:t>
      </w:r>
      <w:r>
        <w:rPr>
          <w:rFonts w:hint="eastAsia" w:ascii="方正仿宋_GBK" w:eastAsia="方正仿宋_GBK"/>
          <w:szCs w:val="32"/>
        </w:rPr>
        <w:t>、Io</w:t>
      </w:r>
      <w:r>
        <w:rPr>
          <w:rFonts w:ascii="方正仿宋_GBK" w:eastAsia="方正仿宋_GBK"/>
          <w:szCs w:val="32"/>
        </w:rPr>
        <w:t>T</w:t>
      </w:r>
      <w:r>
        <w:rPr>
          <w:rFonts w:hint="eastAsia" w:ascii="方正仿宋_GBK" w:eastAsia="方正仿宋_GBK"/>
          <w:szCs w:val="32"/>
        </w:rPr>
        <w:t>技术在城市安全运行监测、安全生产风险监测预警、</w:t>
      </w:r>
      <w:r>
        <w:rPr>
          <w:rFonts w:ascii="方正仿宋_GBK" w:eastAsia="方正仿宋_GBK"/>
          <w:szCs w:val="32"/>
        </w:rPr>
        <w:t>自然灾害</w:t>
      </w:r>
      <w:r>
        <w:rPr>
          <w:rFonts w:hint="eastAsia" w:ascii="方正仿宋_GBK" w:eastAsia="方正仿宋_GBK"/>
          <w:szCs w:val="32"/>
        </w:rPr>
        <w:t>综合风险监测预警方面的应用。促进专业化数学模型在应急救援和决策支撑业务领域的应用，强化各类风险预警能力和突发事件的</w:t>
      </w:r>
      <w:r>
        <w:rPr>
          <w:rFonts w:ascii="方正仿宋_GBK" w:eastAsia="方正仿宋_GBK"/>
          <w:szCs w:val="32"/>
        </w:rPr>
        <w:t>智能化、专业化、精准化水平</w:t>
      </w:r>
      <w:r>
        <w:rPr>
          <w:rFonts w:hint="eastAsia" w:ascii="方正仿宋_GBK" w:eastAsia="方正仿宋_GBK"/>
          <w:szCs w:val="32"/>
        </w:rPr>
        <w:t>，提升</w:t>
      </w:r>
      <w:r>
        <w:rPr>
          <w:rFonts w:ascii="方正仿宋_GBK" w:eastAsia="方正仿宋_GBK"/>
          <w:szCs w:val="32"/>
        </w:rPr>
        <w:t>灾情研判和辅助决策智能科学</w:t>
      </w:r>
      <w:r>
        <w:rPr>
          <w:rFonts w:hint="eastAsia" w:ascii="方正仿宋_GBK" w:eastAsia="方正仿宋_GBK"/>
          <w:szCs w:val="32"/>
        </w:rPr>
        <w:t>水平。促进云网能力提升和云服务能力建设，提升应急管理</w:t>
      </w:r>
      <w:r>
        <w:rPr>
          <w:rFonts w:ascii="方正仿宋_GBK" w:eastAsia="方正仿宋_GBK"/>
          <w:szCs w:val="32"/>
        </w:rPr>
        <w:t>协同</w:t>
      </w:r>
      <w:r>
        <w:rPr>
          <w:rFonts w:hint="eastAsia" w:ascii="方正仿宋_GBK" w:eastAsia="方正仿宋_GBK"/>
          <w:szCs w:val="32"/>
        </w:rPr>
        <w:t>效能，打造部分产品轻资产运营模式。建立</w:t>
      </w:r>
      <w:r>
        <w:rPr>
          <w:rFonts w:ascii="方正仿宋_GBK" w:eastAsia="方正仿宋_GBK"/>
          <w:szCs w:val="32"/>
        </w:rPr>
        <w:t>网络安全态势感知能力和防御反击能力。</w:t>
      </w:r>
    </w:p>
    <w:p w14:paraId="28559E24">
      <w:pPr>
        <w:pStyle w:val="6"/>
        <w:adjustRightInd w:val="0"/>
        <w:snapToGrid w:val="0"/>
        <w:spacing w:before="0" w:after="0" w:line="579" w:lineRule="exact"/>
        <w:ind w:firstLine="640" w:firstLineChars="200"/>
        <w:rPr>
          <w:rFonts w:ascii="方正仿宋_GBK" w:hAnsi="宋体" w:eastAsia="方正仿宋_GBK"/>
        </w:rPr>
      </w:pPr>
      <w:bookmarkStart w:id="120" w:name="_Toc87275361"/>
      <w:r>
        <w:rPr>
          <w:rFonts w:ascii="方正仿宋_GBK" w:hAnsi="宋体" w:eastAsia="方正仿宋_GBK"/>
        </w:rPr>
        <w:t>5.</w:t>
      </w:r>
      <w:r>
        <w:rPr>
          <w:rFonts w:hint="eastAsia" w:ascii="方正仿宋_GBK" w:hAnsi="宋体" w:eastAsia="方正仿宋_GBK"/>
        </w:rPr>
        <w:t>文化创新</w:t>
      </w:r>
      <w:bookmarkEnd w:id="120"/>
    </w:p>
    <w:p w14:paraId="0A7AC093">
      <w:pPr>
        <w:pStyle w:val="4"/>
        <w:spacing w:line="579" w:lineRule="exact"/>
        <w:ind w:firstLine="640"/>
        <w:rPr>
          <w:rFonts w:ascii="方正仿宋_GBK" w:eastAsia="方正仿宋_GBK"/>
          <w:szCs w:val="32"/>
        </w:rPr>
      </w:pPr>
      <w:r>
        <w:rPr>
          <w:rFonts w:hint="eastAsia" w:ascii="方正仿宋_GBK" w:eastAsia="方正仿宋_GBK"/>
          <w:szCs w:val="32"/>
        </w:rPr>
        <w:t>拓展应急知识及安全文化宣传全媒体传播渠道，鼓励主流媒体开办应急管理节目、栏目，大力拓展微博、微信、头条、抖音等新媒体和自媒体宣传渠道，开发具有应急文化特色的融合产品。广泛开展应急科普宣传教育，组织开展形式多样的宣传教育活动，建设应急虚拟体验馆和网上科普宣教平台。以“安全生产月”“防灾减灾日”“防震减灾周”“世界急救日”等为主要载体，共同推动应急科普知识进企业、进学校、进社区、进家庭。打造安全文化创新基地。</w:t>
      </w:r>
    </w:p>
    <w:p w14:paraId="76C17B6E">
      <w:pPr>
        <w:pStyle w:val="6"/>
        <w:adjustRightInd w:val="0"/>
        <w:snapToGrid w:val="0"/>
        <w:spacing w:before="0" w:after="0" w:line="579" w:lineRule="exact"/>
        <w:ind w:firstLine="640" w:firstLineChars="200"/>
        <w:rPr>
          <w:rFonts w:ascii="方正仿宋_GBK" w:hAnsi="宋体" w:eastAsia="方正仿宋_GBK"/>
        </w:rPr>
      </w:pPr>
      <w:bookmarkStart w:id="121" w:name="_Toc87275362"/>
      <w:r>
        <w:rPr>
          <w:rFonts w:ascii="方正仿宋_GBK" w:hAnsi="宋体" w:eastAsia="方正仿宋_GBK"/>
        </w:rPr>
        <w:t>6.</w:t>
      </w:r>
      <w:r>
        <w:rPr>
          <w:rFonts w:hint="eastAsia" w:ascii="方正仿宋_GBK" w:hAnsi="宋体" w:eastAsia="方正仿宋_GBK"/>
        </w:rPr>
        <w:t>市场创新</w:t>
      </w:r>
      <w:bookmarkEnd w:id="121"/>
    </w:p>
    <w:p w14:paraId="31541C91">
      <w:pPr>
        <w:pStyle w:val="4"/>
        <w:spacing w:line="579" w:lineRule="exact"/>
        <w:ind w:firstLine="640"/>
        <w:rPr>
          <w:rFonts w:ascii="方正仿宋_GBK" w:eastAsia="方正仿宋_GBK"/>
          <w:szCs w:val="32"/>
        </w:rPr>
      </w:pPr>
      <w:r>
        <w:rPr>
          <w:rFonts w:hint="eastAsia" w:ascii="方正仿宋_GBK" w:eastAsia="方正仿宋_GBK"/>
          <w:szCs w:val="32"/>
        </w:rPr>
        <w:t>推动行业协会学会发展。建立健全政府购买服务机制，引入第三方技术服务，促进市场活力。引入第三方保险机制，完善风险分担和赔偿保障机制。健全社会信用机制，推动应急物资采购、紧急征用、志愿捐助、紧急运输和恢复重建等方面的诚信制度和信用记录，建立“黑名单”和“白名单”管理机制，强化失信惩戒和守信激励。</w:t>
      </w:r>
    </w:p>
    <w:p w14:paraId="6D6AF3EF">
      <w:pPr>
        <w:pStyle w:val="5"/>
        <w:keepNext/>
        <w:keepLines/>
        <w:spacing w:before="0" w:line="579" w:lineRule="exact"/>
        <w:ind w:firstLine="640" w:firstLineChars="200"/>
        <w:rPr>
          <w:rFonts w:ascii="方正楷体_GBK" w:hAnsi="Times New Roman" w:eastAsia="方正楷体_GBK"/>
          <w:b w:val="0"/>
          <w:bCs/>
          <w:sz w:val="32"/>
          <w:szCs w:val="32"/>
        </w:rPr>
      </w:pPr>
      <w:bookmarkStart w:id="122" w:name="_Toc87275363"/>
      <w:bookmarkStart w:id="123" w:name="_Toc75618161"/>
      <w:r>
        <w:rPr>
          <w:rFonts w:hint="eastAsia" w:ascii="方正楷体_GBK" w:hAnsi="Times New Roman" w:eastAsia="方正楷体_GBK"/>
          <w:b w:val="0"/>
          <w:bCs/>
          <w:sz w:val="32"/>
          <w:szCs w:val="32"/>
        </w:rPr>
        <w:t>（七）推进应急管理信息化建设</w:t>
      </w:r>
      <w:bookmarkEnd w:id="122"/>
      <w:bookmarkEnd w:id="123"/>
    </w:p>
    <w:p w14:paraId="13C08C15">
      <w:pPr>
        <w:pStyle w:val="20"/>
        <w:spacing w:after="0" w:line="579" w:lineRule="exact"/>
        <w:ind w:firstLine="640" w:firstLineChars="200"/>
        <w:rPr>
          <w:rFonts w:ascii="方正仿宋_GBK" w:eastAsia="方正仿宋_GBK"/>
          <w:szCs w:val="32"/>
        </w:rPr>
      </w:pPr>
      <w:r>
        <w:rPr>
          <w:rFonts w:hint="eastAsia" w:ascii="方正仿宋_GBK" w:eastAsia="方正仿宋_GBK"/>
          <w:bCs/>
          <w:szCs w:val="32"/>
        </w:rPr>
        <w:t>应急管理信息化建设是加强新时代大国应急保障能力的关键性工作，</w:t>
      </w:r>
      <w:r>
        <w:rPr>
          <w:rFonts w:hint="eastAsia" w:ascii="方正仿宋_GBK" w:eastAsia="方正仿宋_GBK"/>
          <w:szCs w:val="32"/>
        </w:rPr>
        <w:t>是全面提升应急管理能力和水平，推进应急管理现代化建设的必由之路。</w:t>
      </w:r>
      <w:r>
        <w:rPr>
          <w:rFonts w:hint="eastAsia" w:ascii="方正仿宋_GBK" w:eastAsia="方正仿宋_GBK"/>
          <w:bCs/>
          <w:szCs w:val="32"/>
        </w:rPr>
        <w:t>“十四五”期间，</w:t>
      </w:r>
      <w:r>
        <w:rPr>
          <w:rFonts w:hint="eastAsia" w:ascii="方正仿宋_GBK" w:eastAsia="方正仿宋_GBK"/>
          <w:szCs w:val="32"/>
        </w:rPr>
        <w:t>抓住应急管理事业改革发展的重大战略机遇，加快推进应急管理信息化水平</w:t>
      </w:r>
      <w:r>
        <w:rPr>
          <w:rFonts w:hint="eastAsia" w:ascii="方正仿宋_GBK" w:eastAsia="方正仿宋_GBK"/>
          <w:bCs/>
          <w:szCs w:val="32"/>
        </w:rPr>
        <w:t>，提升我区应急管理工作科学化、专业化、智能化和精细化的“四化”能力。</w:t>
      </w:r>
    </w:p>
    <w:p w14:paraId="2FF3FF4B">
      <w:pPr>
        <w:pStyle w:val="6"/>
        <w:adjustRightInd w:val="0"/>
        <w:snapToGrid w:val="0"/>
        <w:spacing w:before="0" w:after="0" w:line="579" w:lineRule="exact"/>
        <w:ind w:firstLine="640" w:firstLineChars="200"/>
        <w:rPr>
          <w:rFonts w:ascii="方正仿宋_GBK" w:hAnsi="宋体" w:eastAsia="方正仿宋_GBK"/>
        </w:rPr>
      </w:pPr>
      <w:bookmarkStart w:id="124" w:name="_Toc87275364"/>
      <w:r>
        <w:rPr>
          <w:rFonts w:ascii="方正仿宋_GBK" w:hAnsi="宋体" w:eastAsia="方正仿宋_GBK"/>
        </w:rPr>
        <w:t>1</w:t>
      </w:r>
      <w:r>
        <w:rPr>
          <w:rFonts w:hint="eastAsia" w:ascii="方正仿宋_GBK" w:hAnsi="宋体" w:eastAsia="方正仿宋_GBK"/>
        </w:rPr>
        <w:t>.提升风险监测预警能力建设</w:t>
      </w:r>
      <w:bookmarkEnd w:id="124"/>
    </w:p>
    <w:p w14:paraId="1D9FA3C6">
      <w:pPr>
        <w:pStyle w:val="4"/>
        <w:spacing w:line="579" w:lineRule="exact"/>
        <w:ind w:firstLine="640"/>
        <w:rPr>
          <w:rFonts w:ascii="方正仿宋_GBK" w:eastAsia="方正仿宋_GBK"/>
          <w:szCs w:val="32"/>
        </w:rPr>
      </w:pPr>
      <w:r>
        <w:rPr>
          <w:rFonts w:hint="eastAsia" w:ascii="方正仿宋_GBK" w:eastAsia="方正仿宋_GBK"/>
          <w:szCs w:val="32"/>
        </w:rPr>
        <w:t>通过监测预警感知网络建设，提高风险感知能力，针对工业安全、消防安全、城市生命线安全、食品药品安全、卫生健康、自然灾害等各领域特征，建设完整的监测预警体系，对各类数据资源进行自动汇聚、识别、关联、融合，开展大数据分析和应用，提高实时监测、动态分析能力建设，提升多灾种和灾害链综合监测。</w:t>
      </w:r>
    </w:p>
    <w:p w14:paraId="478ABE08">
      <w:pPr>
        <w:pStyle w:val="6"/>
        <w:adjustRightInd w:val="0"/>
        <w:snapToGrid w:val="0"/>
        <w:spacing w:before="0" w:after="0" w:line="579" w:lineRule="exact"/>
        <w:ind w:firstLine="640" w:firstLineChars="200"/>
        <w:rPr>
          <w:rFonts w:ascii="方正仿宋_GBK" w:hAnsi="宋体" w:eastAsia="方正仿宋_GBK"/>
        </w:rPr>
      </w:pPr>
      <w:bookmarkStart w:id="125" w:name="_Toc87275365"/>
      <w:r>
        <w:rPr>
          <w:rFonts w:ascii="方正仿宋_GBK" w:hAnsi="宋体" w:eastAsia="方正仿宋_GBK"/>
        </w:rPr>
        <w:t>2</w:t>
      </w:r>
      <w:r>
        <w:rPr>
          <w:rFonts w:hint="eastAsia" w:ascii="方正仿宋_GBK" w:hAnsi="宋体" w:eastAsia="方正仿宋_GBK"/>
        </w:rPr>
        <w:t>.提升辅助指挥决策能力建设</w:t>
      </w:r>
      <w:bookmarkEnd w:id="125"/>
    </w:p>
    <w:p w14:paraId="7A4BB365">
      <w:pPr>
        <w:pStyle w:val="4"/>
        <w:spacing w:line="579" w:lineRule="exact"/>
        <w:ind w:firstLine="640"/>
        <w:rPr>
          <w:rFonts w:ascii="方正仿宋_GBK" w:eastAsia="方正仿宋_GBK"/>
          <w:szCs w:val="32"/>
        </w:rPr>
      </w:pPr>
      <w:r>
        <w:rPr>
          <w:rFonts w:hint="eastAsia" w:ascii="方正仿宋_GBK" w:eastAsia="方正仿宋_GBK"/>
          <w:szCs w:val="32"/>
        </w:rPr>
        <w:t>加强风险综合研判水平，建立应急指挥“一张图”，覆盖全区应急管理信息网络高速公路，横向连通气象、地震、消防、森林、卫生等相关应急救援信息渠道，实现信息共享共用。纵向打通国家、市级、区级及基层各级应急管理机构的信息传递链路，构建“全域覆盖、全面融合、全程贯通”的应急指挥体系。</w:t>
      </w:r>
    </w:p>
    <w:p w14:paraId="7CD6DFD5">
      <w:pPr>
        <w:pStyle w:val="6"/>
        <w:adjustRightInd w:val="0"/>
        <w:snapToGrid w:val="0"/>
        <w:spacing w:before="0" w:after="0" w:line="579" w:lineRule="exact"/>
        <w:ind w:firstLine="640" w:firstLineChars="200"/>
        <w:rPr>
          <w:rFonts w:ascii="方正仿宋_GBK" w:hAnsi="宋体" w:eastAsia="方正仿宋_GBK"/>
        </w:rPr>
      </w:pPr>
      <w:bookmarkStart w:id="126" w:name="_Toc87275366"/>
      <w:r>
        <w:rPr>
          <w:rFonts w:ascii="方正仿宋_GBK" w:hAnsi="宋体" w:eastAsia="方正仿宋_GBK"/>
        </w:rPr>
        <w:t>3</w:t>
      </w:r>
      <w:r>
        <w:rPr>
          <w:rFonts w:hint="eastAsia" w:ascii="方正仿宋_GBK" w:hAnsi="宋体" w:eastAsia="方正仿宋_GBK"/>
        </w:rPr>
        <w:t>.提升应急救援实战能力建设</w:t>
      </w:r>
      <w:bookmarkEnd w:id="126"/>
    </w:p>
    <w:p w14:paraId="7A8BD95B">
      <w:pPr>
        <w:pStyle w:val="4"/>
        <w:spacing w:line="579" w:lineRule="exact"/>
        <w:ind w:firstLine="640"/>
        <w:rPr>
          <w:rFonts w:ascii="方正仿宋_GBK" w:eastAsia="方正仿宋_GBK"/>
          <w:szCs w:val="32"/>
        </w:rPr>
      </w:pPr>
      <w:r>
        <w:rPr>
          <w:rFonts w:hint="eastAsia" w:ascii="方正仿宋_GBK" w:eastAsia="方正仿宋_GBK"/>
          <w:szCs w:val="32"/>
        </w:rPr>
        <w:t>建立灾情救援实战平台，利用“区块链”“5G”“北斗”“大数据”等新技术，根据实时灾情信息，快速启动响应，生成救援、调度及保障方案，实现灾区现场实时感知，异地决策快速同步，人员、物资及各类资源的及时派发和调配。</w:t>
      </w:r>
    </w:p>
    <w:p w14:paraId="4880450E">
      <w:pPr>
        <w:pStyle w:val="6"/>
        <w:adjustRightInd w:val="0"/>
        <w:snapToGrid w:val="0"/>
        <w:spacing w:before="0" w:after="0" w:line="579" w:lineRule="exact"/>
        <w:ind w:firstLine="640" w:firstLineChars="200"/>
        <w:rPr>
          <w:rFonts w:ascii="方正仿宋_GBK" w:hAnsi="宋体" w:eastAsia="方正仿宋_GBK"/>
        </w:rPr>
      </w:pPr>
      <w:bookmarkStart w:id="127" w:name="_Toc87275367"/>
      <w:r>
        <w:rPr>
          <w:rFonts w:ascii="方正仿宋_GBK" w:hAnsi="宋体" w:eastAsia="方正仿宋_GBK"/>
        </w:rPr>
        <w:t>4</w:t>
      </w:r>
      <w:r>
        <w:rPr>
          <w:rFonts w:hint="eastAsia" w:ascii="方正仿宋_GBK" w:hAnsi="宋体" w:eastAsia="方正仿宋_GBK"/>
        </w:rPr>
        <w:t>.提升应急监管执法能力建设</w:t>
      </w:r>
      <w:bookmarkEnd w:id="127"/>
    </w:p>
    <w:p w14:paraId="2DF28884">
      <w:pPr>
        <w:pStyle w:val="4"/>
        <w:spacing w:line="579" w:lineRule="exact"/>
        <w:ind w:firstLine="640"/>
        <w:rPr>
          <w:rFonts w:ascii="方正仿宋_GBK" w:eastAsia="方正仿宋_GBK"/>
          <w:szCs w:val="32"/>
        </w:rPr>
      </w:pPr>
      <w:r>
        <w:rPr>
          <w:rFonts w:hint="eastAsia" w:ascii="方正仿宋_GBK" w:eastAsia="方正仿宋_GBK"/>
          <w:szCs w:val="32"/>
        </w:rPr>
        <w:t>拓宽信息采集范围，积极探索“互联网+监管”模式，企业登记、市场监管、税务、行政执法、投诉举报、公安、监察等多部门数据在线，更加有效督促企业落实主体责任和自查自纠。实现安全监管、效能监管、信用监管、重点监管、综合监管、协同监管和智慧监管。</w:t>
      </w:r>
    </w:p>
    <w:p w14:paraId="44E8DBCA">
      <w:pPr>
        <w:pStyle w:val="6"/>
        <w:adjustRightInd w:val="0"/>
        <w:snapToGrid w:val="0"/>
        <w:spacing w:before="0" w:after="0" w:line="579" w:lineRule="exact"/>
        <w:ind w:firstLine="640" w:firstLineChars="200"/>
        <w:rPr>
          <w:rFonts w:ascii="方正仿宋_GBK" w:hAnsi="宋体" w:eastAsia="方正仿宋_GBK"/>
        </w:rPr>
      </w:pPr>
      <w:bookmarkStart w:id="128" w:name="_Toc87275368"/>
      <w:r>
        <w:rPr>
          <w:rFonts w:hint="eastAsia" w:ascii="方正仿宋_GBK" w:hAnsi="宋体" w:eastAsia="方正仿宋_GBK"/>
        </w:rPr>
        <w:t>5.加强应急管理智库体系建设</w:t>
      </w:r>
      <w:bookmarkEnd w:id="128"/>
    </w:p>
    <w:p w14:paraId="7F1B2AA5">
      <w:pPr>
        <w:pStyle w:val="67"/>
        <w:spacing w:line="579" w:lineRule="exact"/>
        <w:ind w:firstLine="640"/>
        <w:rPr>
          <w:rFonts w:ascii="方正仿宋_GBK" w:eastAsia="方正仿宋_GBK"/>
          <w:sz w:val="32"/>
          <w:szCs w:val="32"/>
        </w:rPr>
      </w:pPr>
      <w:r>
        <w:rPr>
          <w:rFonts w:hint="eastAsia" w:ascii="方正仿宋_GBK" w:hAnsi="Times New Roman" w:eastAsia="方正仿宋_GBK"/>
          <w:sz w:val="32"/>
          <w:szCs w:val="32"/>
        </w:rPr>
        <w:t>贯彻落实总体国家安全观，强化风险预警能力，强化系统性思维和早期预警能力建设。增强应急管理跨界协作的智库体系建设，针对全球性、全局性、全域性、全民性影响建立有效联动机制，整合历史案例、法规标准、行业知识等系统化应急知识体系，为突发事件应对提供多维度、全方位决策支撑。</w:t>
      </w:r>
    </w:p>
    <w:p w14:paraId="74E5E563">
      <w:pPr>
        <w:pStyle w:val="6"/>
        <w:adjustRightInd w:val="0"/>
        <w:snapToGrid w:val="0"/>
        <w:spacing w:before="0" w:after="0" w:line="579" w:lineRule="exact"/>
        <w:ind w:firstLine="640" w:firstLineChars="200"/>
        <w:rPr>
          <w:rFonts w:ascii="方正仿宋_GBK" w:hAnsi="宋体" w:eastAsia="方正仿宋_GBK"/>
        </w:rPr>
      </w:pPr>
      <w:bookmarkStart w:id="129" w:name="_Toc87275369"/>
      <w:r>
        <w:rPr>
          <w:rFonts w:ascii="方正仿宋_GBK" w:hAnsi="宋体" w:eastAsia="方正仿宋_GBK"/>
        </w:rPr>
        <w:t>6</w:t>
      </w:r>
      <w:r>
        <w:rPr>
          <w:rFonts w:hint="eastAsia" w:ascii="方正仿宋_GBK" w:hAnsi="宋体" w:eastAsia="方正仿宋_GBK"/>
        </w:rPr>
        <w:t>.加强基层信息上报渠道多元化建设</w:t>
      </w:r>
      <w:bookmarkEnd w:id="129"/>
    </w:p>
    <w:p w14:paraId="554868DB">
      <w:pPr>
        <w:pStyle w:val="67"/>
        <w:spacing w:line="579" w:lineRule="exact"/>
        <w:ind w:firstLine="640"/>
        <w:rPr>
          <w:rFonts w:ascii="方正仿宋_GBK" w:hAnsi="Times New Roman" w:eastAsia="方正仿宋_GBK"/>
          <w:sz w:val="32"/>
          <w:szCs w:val="32"/>
        </w:rPr>
      </w:pPr>
      <w:r>
        <w:rPr>
          <w:rFonts w:hint="eastAsia" w:ascii="方正仿宋_GBK" w:hAnsi="Times New Roman" w:eastAsia="方正仿宋_GBK"/>
          <w:sz w:val="32"/>
          <w:szCs w:val="32"/>
        </w:rPr>
        <w:t>充分发挥基层社区网格化治理的基础能力建设，完善健全社会组织的应急管理能力，提升社会资源动员、协调和分配效力，夯实我区应急管理的社会治理基础能力建设。</w:t>
      </w:r>
    </w:p>
    <w:p w14:paraId="54515D93">
      <w:pPr>
        <w:pStyle w:val="6"/>
        <w:adjustRightInd w:val="0"/>
        <w:snapToGrid w:val="0"/>
        <w:spacing w:before="0" w:after="0" w:line="579" w:lineRule="exact"/>
        <w:ind w:firstLine="640" w:firstLineChars="200"/>
        <w:rPr>
          <w:rFonts w:ascii="方正仿宋_GBK" w:hAnsi="宋体" w:eastAsia="方正仿宋_GBK"/>
        </w:rPr>
      </w:pPr>
      <w:bookmarkStart w:id="130" w:name="_Toc87275370"/>
      <w:r>
        <w:rPr>
          <w:rFonts w:ascii="方正仿宋_GBK" w:hAnsi="宋体" w:eastAsia="方正仿宋_GBK"/>
        </w:rPr>
        <w:t>7</w:t>
      </w:r>
      <w:r>
        <w:rPr>
          <w:rFonts w:hint="eastAsia" w:ascii="方正仿宋_GBK" w:hAnsi="宋体" w:eastAsia="方正仿宋_GBK"/>
        </w:rPr>
        <w:t>.完善应急响</w:t>
      </w:r>
      <w:r>
        <w:rPr>
          <w:rFonts w:hint="eastAsia" w:ascii="方正仿宋_GBK" w:hAnsi="宋体" w:eastAsia="方正仿宋_GBK"/>
          <w:lang w:eastAsia="zh-CN"/>
        </w:rPr>
        <w:t>应急预案</w:t>
      </w:r>
      <w:r>
        <w:rPr>
          <w:rFonts w:hint="eastAsia" w:ascii="方正仿宋_GBK" w:hAnsi="宋体" w:eastAsia="方正仿宋_GBK"/>
        </w:rPr>
        <w:t>数字化体系建设</w:t>
      </w:r>
      <w:bookmarkEnd w:id="130"/>
    </w:p>
    <w:p w14:paraId="18E8919D">
      <w:pPr>
        <w:pStyle w:val="4"/>
        <w:spacing w:line="579" w:lineRule="exact"/>
        <w:ind w:firstLine="640"/>
        <w:rPr>
          <w:rFonts w:ascii="方正仿宋_GBK" w:eastAsia="方正仿宋_GBK"/>
          <w:szCs w:val="32"/>
        </w:rPr>
      </w:pPr>
      <w:r>
        <w:rPr>
          <w:rFonts w:hint="eastAsia" w:ascii="方正仿宋_GBK" w:eastAsia="方正仿宋_GBK"/>
          <w:szCs w:val="32"/>
        </w:rPr>
        <w:t>按照机构改革后对应急管理工作要求，加快出台我区突发事件总体预案和各个专项预案完善更新与体系建设工作，加快数字化预案体系建设，同时加强灾害链和预案链体系研究。完善应急响应保障机制和预案数字化平台建设。</w:t>
      </w:r>
    </w:p>
    <w:p w14:paraId="7B312364">
      <w:pPr>
        <w:pStyle w:val="6"/>
        <w:adjustRightInd w:val="0"/>
        <w:snapToGrid w:val="0"/>
        <w:spacing w:before="0" w:after="0" w:line="579" w:lineRule="exact"/>
        <w:ind w:firstLine="640" w:firstLineChars="200"/>
        <w:rPr>
          <w:rFonts w:ascii="方正仿宋_GBK" w:hAnsi="宋体" w:eastAsia="方正仿宋_GBK"/>
        </w:rPr>
      </w:pPr>
      <w:bookmarkStart w:id="131" w:name="_Toc87275371"/>
      <w:r>
        <w:rPr>
          <w:rFonts w:ascii="方正仿宋_GBK" w:hAnsi="宋体" w:eastAsia="方正仿宋_GBK"/>
        </w:rPr>
        <w:t>8</w:t>
      </w:r>
      <w:r>
        <w:rPr>
          <w:rFonts w:hint="eastAsia" w:ascii="方正仿宋_GBK" w:hAnsi="宋体" w:eastAsia="方正仿宋_GBK"/>
        </w:rPr>
        <w:t>.健全重大舆情监测研判、预警、发布机制体制建设</w:t>
      </w:r>
      <w:bookmarkEnd w:id="131"/>
    </w:p>
    <w:p w14:paraId="6A574FD3">
      <w:pPr>
        <w:pStyle w:val="67"/>
        <w:spacing w:line="579" w:lineRule="exact"/>
        <w:ind w:firstLine="640"/>
        <w:rPr>
          <w:rFonts w:ascii="方正仿宋_GBK" w:hAnsi="Times New Roman" w:eastAsia="方正仿宋_GBK"/>
          <w:sz w:val="32"/>
          <w:szCs w:val="32"/>
        </w:rPr>
      </w:pPr>
      <w:r>
        <w:rPr>
          <w:rFonts w:hint="eastAsia" w:ascii="方正仿宋_GBK" w:hAnsi="Times New Roman" w:eastAsia="方正仿宋_GBK"/>
          <w:sz w:val="32"/>
          <w:szCs w:val="32"/>
        </w:rPr>
        <w:t>强化网络主流媒体舆论监督机制，建立完善网络综合治理体系和机制，构建良好互联网生态，建立健全舆情监测、风险评估和分析研判机制。</w:t>
      </w:r>
    </w:p>
    <w:bookmarkEnd w:id="86"/>
    <w:p w14:paraId="54BF9AAF">
      <w:pPr>
        <w:pStyle w:val="2"/>
        <w:keepNext/>
        <w:keepLines/>
        <w:spacing w:before="0" w:line="579" w:lineRule="exact"/>
        <w:ind w:left="640" w:leftChars="200"/>
        <w:rPr>
          <w:rFonts w:ascii="方正黑体_GBK" w:hAnsi="Times New Roman" w:eastAsia="方正黑体_GBK"/>
          <w:b w:val="0"/>
          <w:bCs/>
          <w:kern w:val="44"/>
        </w:rPr>
      </w:pPr>
      <w:bookmarkStart w:id="132" w:name="_Toc87275372"/>
      <w:bookmarkStart w:id="133" w:name="_Toc75618163"/>
      <w:r>
        <w:rPr>
          <w:rFonts w:hint="eastAsia" w:ascii="方正黑体_GBK" w:hAnsi="Times New Roman" w:eastAsia="方正黑体_GBK"/>
          <w:b w:val="0"/>
          <w:bCs/>
          <w:kern w:val="44"/>
        </w:rPr>
        <w:t>五、重点工程</w:t>
      </w:r>
      <w:bookmarkEnd w:id="132"/>
      <w:bookmarkEnd w:id="133"/>
    </w:p>
    <w:p w14:paraId="64A87067">
      <w:pPr>
        <w:pStyle w:val="5"/>
        <w:keepNext/>
        <w:keepLines/>
        <w:spacing w:before="0" w:line="579" w:lineRule="exact"/>
        <w:ind w:firstLine="640" w:firstLineChars="200"/>
        <w:rPr>
          <w:rFonts w:ascii="方正楷体_GBK" w:hAnsi="Times New Roman" w:eastAsia="方正楷体_GBK"/>
          <w:b w:val="0"/>
          <w:bCs/>
          <w:sz w:val="32"/>
          <w:szCs w:val="32"/>
        </w:rPr>
      </w:pPr>
      <w:bookmarkStart w:id="134" w:name="_Toc75618164"/>
      <w:bookmarkStart w:id="135" w:name="_Toc87275373"/>
      <w:bookmarkStart w:id="136" w:name="_Toc12200257"/>
      <w:r>
        <w:rPr>
          <w:rFonts w:hint="eastAsia" w:ascii="方正楷体_GBK" w:hAnsi="Times New Roman" w:eastAsia="方正楷体_GBK"/>
          <w:b w:val="0"/>
          <w:bCs/>
          <w:sz w:val="32"/>
          <w:szCs w:val="32"/>
        </w:rPr>
        <w:t>（一）防灾减灾能力提升工程</w:t>
      </w:r>
      <w:bookmarkEnd w:id="134"/>
      <w:bookmarkEnd w:id="135"/>
    </w:p>
    <w:p w14:paraId="23F147C8">
      <w:pPr>
        <w:pStyle w:val="6"/>
        <w:adjustRightInd w:val="0"/>
        <w:snapToGrid w:val="0"/>
        <w:spacing w:before="0" w:after="0" w:line="579" w:lineRule="exact"/>
        <w:ind w:firstLine="640" w:firstLineChars="200"/>
        <w:rPr>
          <w:rFonts w:ascii="方正仿宋_GBK" w:hAnsi="宋体" w:eastAsia="方正仿宋_GBK"/>
        </w:rPr>
      </w:pPr>
      <w:bookmarkStart w:id="137" w:name="_Toc87275374"/>
      <w:r>
        <w:rPr>
          <w:rFonts w:ascii="方正仿宋_GBK" w:hAnsi="宋体" w:eastAsia="方正仿宋_GBK"/>
        </w:rPr>
        <w:t>1</w:t>
      </w:r>
      <w:r>
        <w:rPr>
          <w:rFonts w:hint="eastAsia" w:ascii="方正仿宋_GBK" w:hAnsi="宋体" w:eastAsia="方正仿宋_GBK"/>
        </w:rPr>
        <w:t>.防灾减灾基础设施保障工程</w:t>
      </w:r>
      <w:bookmarkEnd w:id="137"/>
    </w:p>
    <w:p w14:paraId="70D1B3FF">
      <w:pPr>
        <w:snapToGrid w:val="0"/>
        <w:spacing w:line="579" w:lineRule="exact"/>
        <w:ind w:firstLine="640"/>
        <w:rPr>
          <w:rFonts w:ascii="方正仿宋_GBK" w:eastAsia="方正仿宋_GBK"/>
          <w:bCs/>
          <w:szCs w:val="32"/>
        </w:rPr>
      </w:pPr>
      <w:r>
        <w:rPr>
          <w:rFonts w:hint="eastAsia" w:ascii="方正仿宋_GBK" w:eastAsia="方正仿宋_GBK"/>
          <w:bCs/>
          <w:szCs w:val="32"/>
        </w:rPr>
        <w:t>按照市级统一部署和整体规划，提升我区防灾减灾基础设施保障能力建设，主要涉及：（1）完善我区地质灾害隐患综合遥感识别体系和监测装备配备，开展重大地质灾害工程治理和地质灾害隐患点避险移民搬迁工作。（2）完善我区地震监测能力薄弱地区、重点监视防御区和重要工程建设区强震动监测台网及监测装备配备，完成现有地震监测台站标准化和信息化技术升级改造，在超过200米的超高层建筑和特大桥安装地震加速度计。（3）补齐城市排水防涝设施短板，开展城市内涝点整治专项行动。率先完成主干道、立交下穿道、低洼地等区域整治；到2022年底，基本完成整治，排水防涝应急能力建设有效提升。（4）对跨江大桥桥梁进行修缮，完善车行系统、增设垂直升降梯、构建便捷步行通廊、优化安全防护等，提升桥梁交通功能。（5）在中小河流、山洪、地质灾害隐患点和暴雨灾害高风险区、高海拔地区等监测盲区新建和升级多要素自动气象站。</w:t>
      </w:r>
    </w:p>
    <w:p w14:paraId="6E5B3D84">
      <w:pPr>
        <w:pStyle w:val="6"/>
        <w:adjustRightInd w:val="0"/>
        <w:snapToGrid w:val="0"/>
        <w:spacing w:before="0" w:after="0" w:line="579" w:lineRule="exact"/>
        <w:ind w:firstLine="640" w:firstLineChars="200"/>
        <w:rPr>
          <w:rFonts w:ascii="方正仿宋_GBK" w:hAnsi="宋体" w:eastAsia="方正仿宋_GBK"/>
        </w:rPr>
      </w:pPr>
      <w:bookmarkStart w:id="138" w:name="_Toc87275375"/>
      <w:r>
        <w:rPr>
          <w:rFonts w:ascii="方正仿宋_GBK" w:hAnsi="宋体" w:eastAsia="方正仿宋_GBK"/>
        </w:rPr>
        <w:t>2.</w:t>
      </w:r>
      <w:r>
        <w:rPr>
          <w:rFonts w:hint="eastAsia" w:ascii="方正仿宋_GBK" w:hAnsi="宋体" w:eastAsia="方正仿宋_GBK"/>
        </w:rPr>
        <w:t>第一次全国自然灾害综合风险普查</w:t>
      </w:r>
      <w:bookmarkEnd w:id="138"/>
    </w:p>
    <w:p w14:paraId="0A2CFBF7">
      <w:pPr>
        <w:pStyle w:val="4"/>
        <w:spacing w:line="579" w:lineRule="exact"/>
        <w:ind w:firstLine="640"/>
        <w:rPr>
          <w:rFonts w:ascii="方正仿宋_GBK" w:hAnsi="宋体" w:eastAsia="方正仿宋_GBK"/>
          <w:bCs/>
          <w:szCs w:val="32"/>
        </w:rPr>
      </w:pPr>
      <w:r>
        <w:rPr>
          <w:rFonts w:hint="eastAsia" w:ascii="方正仿宋_GBK" w:hAnsi="宋体" w:eastAsia="方正仿宋_GBK"/>
          <w:bCs/>
          <w:szCs w:val="32"/>
        </w:rPr>
        <w:t>根据国家和重庆市统一部署，针对</w:t>
      </w:r>
      <w:r>
        <w:rPr>
          <w:rFonts w:ascii="方正仿宋_GBK" w:hAnsi="宋体" w:eastAsia="方正仿宋_GBK"/>
          <w:bCs/>
          <w:szCs w:val="32"/>
        </w:rPr>
        <w:t>地震、地质、气象、水旱等</w:t>
      </w:r>
      <w:r>
        <w:rPr>
          <w:rFonts w:hint="eastAsia" w:ascii="方正仿宋_GBK" w:hAnsi="宋体" w:eastAsia="方正仿宋_GBK"/>
          <w:bCs/>
          <w:szCs w:val="32"/>
        </w:rPr>
        <w:t>灾害进行全要素调查</w:t>
      </w:r>
      <w:r>
        <w:rPr>
          <w:rFonts w:ascii="方正仿宋_GBK" w:hAnsi="宋体" w:eastAsia="方正仿宋_GBK"/>
          <w:bCs/>
          <w:szCs w:val="32"/>
        </w:rPr>
        <w:t>。</w:t>
      </w:r>
      <w:r>
        <w:rPr>
          <w:rFonts w:hint="eastAsia" w:ascii="方正仿宋_GBK" w:hAnsi="宋体" w:eastAsia="方正仿宋_GBK"/>
          <w:bCs/>
          <w:szCs w:val="32"/>
        </w:rPr>
        <w:t>形成</w:t>
      </w:r>
      <w:r>
        <w:rPr>
          <w:rFonts w:ascii="方正仿宋_GBK" w:hAnsi="宋体" w:eastAsia="方正仿宋_GBK"/>
          <w:bCs/>
          <w:szCs w:val="32"/>
        </w:rPr>
        <w:t>自然灾害致灾调查与评估，人口、房屋、基础设施、资源和环境等承灾体调查与评估，历史灾害调查与评估，综合减灾资源（能力）调查与评估，重点隐患调查与评估，主要灾害风险评估</w:t>
      </w:r>
      <w:r>
        <w:rPr>
          <w:rFonts w:hint="eastAsia" w:ascii="方正仿宋_GBK" w:hAnsi="宋体" w:eastAsia="方正仿宋_GBK"/>
          <w:bCs/>
          <w:szCs w:val="32"/>
        </w:rPr>
        <w:t>等报告，摸清灾害风险隐患底数，查明重点区域抗灾能力，建立自然灾害综合风险与减灾能力数据库，编制自然灾害系列风险图和综合风险区划和灾害综合防治区划</w:t>
      </w:r>
      <w:r>
        <w:rPr>
          <w:rFonts w:ascii="方正仿宋_GBK" w:hAnsi="宋体" w:eastAsia="方正仿宋_GBK"/>
          <w:bCs/>
          <w:szCs w:val="32"/>
        </w:rPr>
        <w:t>。</w:t>
      </w:r>
    </w:p>
    <w:p w14:paraId="223CB5E4">
      <w:pPr>
        <w:pStyle w:val="6"/>
        <w:adjustRightInd w:val="0"/>
        <w:snapToGrid w:val="0"/>
        <w:spacing w:before="0" w:after="0" w:line="579" w:lineRule="exact"/>
        <w:ind w:firstLine="640" w:firstLineChars="200"/>
        <w:rPr>
          <w:rFonts w:ascii="方正仿宋_GBK" w:hAnsi="宋体" w:eastAsia="方正仿宋_GBK"/>
        </w:rPr>
      </w:pPr>
      <w:bookmarkStart w:id="139" w:name="_Toc87275376"/>
      <w:r>
        <w:rPr>
          <w:rFonts w:ascii="方正仿宋_GBK" w:hAnsi="宋体" w:eastAsia="方正仿宋_GBK"/>
        </w:rPr>
        <w:t>3.</w:t>
      </w:r>
      <w:r>
        <w:rPr>
          <w:rFonts w:hint="eastAsia" w:ascii="方正仿宋_GBK" w:hAnsi="宋体" w:eastAsia="方正仿宋_GBK"/>
        </w:rPr>
        <w:t>城市生命线工程监测预警工程</w:t>
      </w:r>
      <w:bookmarkEnd w:id="139"/>
    </w:p>
    <w:p w14:paraId="0303E57D">
      <w:pPr>
        <w:pStyle w:val="4"/>
        <w:spacing w:line="579" w:lineRule="exact"/>
        <w:ind w:firstLine="640"/>
        <w:rPr>
          <w:rFonts w:ascii="方正仿宋_GBK" w:hAnsi="宋体" w:eastAsia="方正仿宋_GBK"/>
          <w:bCs/>
          <w:szCs w:val="32"/>
        </w:rPr>
      </w:pPr>
      <w:r>
        <w:rPr>
          <w:rFonts w:hint="eastAsia" w:ascii="方正仿宋_GBK" w:hAnsi="宋体" w:eastAsia="方正仿宋_GBK"/>
          <w:bCs/>
          <w:szCs w:val="32"/>
        </w:rPr>
        <w:t>通过公共安全评价理论技术建立城市安全运行监测数学模型和城市基础设施安全数据中心，综合运用城市综合风险评估技术、城市排水及内涝预警技术、供水泄漏监测技术、可燃气体检测、桥梁综合处置主机、大数据平台等多项技术，提升我区城市基础设施防灾减灾能力，推动城市公共安全产业集聚，为建设智慧安全城市、实现城市精细化管理、主动式安全保障提供科技支撑。</w:t>
      </w:r>
    </w:p>
    <w:p w14:paraId="37C908D4">
      <w:pPr>
        <w:pStyle w:val="6"/>
        <w:adjustRightInd w:val="0"/>
        <w:snapToGrid w:val="0"/>
        <w:spacing w:before="0" w:after="0" w:line="579" w:lineRule="exact"/>
        <w:ind w:firstLine="640" w:firstLineChars="200"/>
        <w:rPr>
          <w:rFonts w:ascii="方正仿宋_GBK" w:hAnsi="宋体" w:eastAsia="方正仿宋_GBK"/>
        </w:rPr>
      </w:pPr>
      <w:bookmarkStart w:id="140" w:name="_Toc87275377"/>
      <w:r>
        <w:rPr>
          <w:rFonts w:ascii="方正仿宋_GBK" w:hAnsi="宋体" w:eastAsia="方正仿宋_GBK"/>
        </w:rPr>
        <w:t>4.</w:t>
      </w:r>
      <w:r>
        <w:rPr>
          <w:rFonts w:hint="eastAsia" w:ascii="方正仿宋_GBK" w:hAnsi="宋体" w:eastAsia="方正仿宋_GBK"/>
        </w:rPr>
        <w:t>防灾减灾知识强化建设工程</w:t>
      </w:r>
      <w:bookmarkEnd w:id="140"/>
    </w:p>
    <w:p w14:paraId="4D850054">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持续推进安全宣传工作，开展安全生产月系列活动，不断提升社会安全防范意识，创新开展“5.12全国防灾减灾日”“10.13国际减灾日”“11.9全国消防安全日”等各类安全宣传活动。有条件的街道要建设应急服务中心，提升全民公共安全意识和安全应急能力。制定基层应急机构和职责、工作机制、应急队伍、救灾物资、应急设施、信息系统等方面的规范，推进基层应急体系和能力现代化建设。</w:t>
      </w:r>
    </w:p>
    <w:p w14:paraId="40032296">
      <w:pPr>
        <w:pStyle w:val="6"/>
        <w:adjustRightInd w:val="0"/>
        <w:snapToGrid w:val="0"/>
        <w:spacing w:before="0" w:after="0" w:line="579" w:lineRule="exact"/>
        <w:ind w:firstLine="640" w:firstLineChars="200"/>
        <w:rPr>
          <w:rFonts w:ascii="方正仿宋_GBK" w:hAnsi="宋体" w:eastAsia="方正仿宋_GBK"/>
        </w:rPr>
      </w:pPr>
      <w:bookmarkStart w:id="141" w:name="_Toc87275378"/>
      <w:r>
        <w:rPr>
          <w:rFonts w:ascii="方正仿宋_GBK" w:hAnsi="宋体" w:eastAsia="方正仿宋_GBK"/>
        </w:rPr>
        <w:t>5.</w:t>
      </w:r>
      <w:r>
        <w:rPr>
          <w:rFonts w:hint="eastAsia" w:ascii="方正仿宋_GBK" w:hAnsi="宋体" w:eastAsia="方正仿宋_GBK"/>
        </w:rPr>
        <w:t>安全文化创新基地建设工程</w:t>
      </w:r>
      <w:bookmarkEnd w:id="141"/>
    </w:p>
    <w:p w14:paraId="59C8F53D">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贯彻党的十九大和十九届五中、六中全会关于繁荣发展文化事业和文化产业，提高国家文化软实力的重要精神，坚持总体国家安全观宗旨，紧抓机制改革新机遇，结合我区特色和应急管理工作需要，着眼未来，努力打造国家级安全文化创新示范基地。建设城市运行安全文化体验基地，包含自然灾害体验馆、公共安全体验馆、交通安全体验馆、消防安全体验馆、家居安全体验馆、生产安全体验馆、应急救援体验馆和青少年儿童安全教育体验馆。实现线上仿真、宣传教育、社区安全之家、安全管理人员培训学院、应急百科等全方位安全文化教育培训。</w:t>
      </w:r>
    </w:p>
    <w:p w14:paraId="1CE2856E">
      <w:pPr>
        <w:pStyle w:val="5"/>
        <w:keepNext/>
        <w:keepLines/>
        <w:spacing w:before="0" w:line="579" w:lineRule="exact"/>
        <w:ind w:firstLine="640" w:firstLineChars="200"/>
        <w:rPr>
          <w:rFonts w:ascii="方正楷体_GBK" w:hAnsi="Times New Roman" w:eastAsia="方正楷体_GBK"/>
          <w:b w:val="0"/>
          <w:bCs/>
          <w:sz w:val="32"/>
          <w:szCs w:val="32"/>
        </w:rPr>
      </w:pPr>
      <w:bookmarkStart w:id="142" w:name="_Toc87275379"/>
      <w:bookmarkStart w:id="143" w:name="_Toc75618165"/>
      <w:r>
        <w:rPr>
          <w:rFonts w:hint="eastAsia" w:ascii="方正楷体_GBK" w:hAnsi="Times New Roman" w:eastAsia="方正楷体_GBK"/>
          <w:b w:val="0"/>
          <w:bCs/>
          <w:sz w:val="32"/>
          <w:szCs w:val="32"/>
        </w:rPr>
        <w:t>（二）应急保障能力提升工程</w:t>
      </w:r>
      <w:bookmarkEnd w:id="142"/>
      <w:bookmarkEnd w:id="143"/>
    </w:p>
    <w:p w14:paraId="11683E3C">
      <w:pPr>
        <w:pStyle w:val="6"/>
        <w:adjustRightInd w:val="0"/>
        <w:snapToGrid w:val="0"/>
        <w:spacing w:before="0" w:after="0" w:line="579" w:lineRule="exact"/>
        <w:ind w:firstLine="640" w:firstLineChars="200"/>
        <w:rPr>
          <w:rFonts w:ascii="方正仿宋_GBK" w:hAnsi="宋体" w:eastAsia="方正仿宋_GBK"/>
        </w:rPr>
      </w:pPr>
      <w:bookmarkStart w:id="144" w:name="_Toc87275380"/>
      <w:r>
        <w:rPr>
          <w:rFonts w:hint="eastAsia" w:ascii="方正仿宋_GBK" w:hAnsi="宋体" w:eastAsia="方正仿宋_GBK"/>
        </w:rPr>
        <w:t>1</w:t>
      </w:r>
      <w:r>
        <w:rPr>
          <w:rFonts w:ascii="方正仿宋_GBK" w:hAnsi="宋体" w:eastAsia="方正仿宋_GBK"/>
        </w:rPr>
        <w:t>.</w:t>
      </w:r>
      <w:r>
        <w:rPr>
          <w:rFonts w:hint="eastAsia" w:ascii="方正仿宋_GBK" w:hAnsi="宋体" w:eastAsia="方正仿宋_GBK"/>
        </w:rPr>
        <w:t>应急物资及装备保障能力提升工程</w:t>
      </w:r>
      <w:bookmarkEnd w:id="144"/>
    </w:p>
    <w:p w14:paraId="34A271D4">
      <w:pPr>
        <w:snapToGrid w:val="0"/>
        <w:spacing w:line="579" w:lineRule="exact"/>
        <w:ind w:firstLine="640"/>
        <w:rPr>
          <w:rFonts w:ascii="方正仿宋_GBK" w:hAnsi="方正仿宋_GBK" w:cs="方正仿宋_GBK"/>
          <w:szCs w:val="32"/>
        </w:rPr>
      </w:pPr>
      <w:r>
        <w:rPr>
          <w:rFonts w:hint="eastAsia" w:ascii="方正仿宋_GBK" w:eastAsia="方正仿宋_GBK"/>
          <w:szCs w:val="32"/>
        </w:rPr>
        <w:t>完善我区应急物资储备库建设，提升应急物资保障能力；建设一个区级救灾物资、救援装备标准化储备仓库，完善管理规范及调拨机制，加强生活物资及基础救援装备储备能力建设；出台一套物资及装备生产企业转产能力评估、市场准入及代储机制，加强重特大突发事件救灾保障能力。</w:t>
      </w:r>
    </w:p>
    <w:p w14:paraId="3CB743DB">
      <w:pPr>
        <w:pStyle w:val="6"/>
        <w:adjustRightInd w:val="0"/>
        <w:snapToGrid w:val="0"/>
        <w:spacing w:before="0" w:after="0" w:line="579" w:lineRule="exact"/>
        <w:ind w:firstLine="640" w:firstLineChars="200"/>
        <w:rPr>
          <w:rFonts w:ascii="方正仿宋_GBK" w:hAnsi="宋体" w:eastAsia="方正仿宋_GBK"/>
        </w:rPr>
      </w:pPr>
      <w:bookmarkStart w:id="145" w:name="_Toc87275381"/>
      <w:r>
        <w:rPr>
          <w:rFonts w:ascii="方正仿宋_GBK" w:hAnsi="宋体" w:eastAsia="方正仿宋_GBK"/>
        </w:rPr>
        <w:t>2.</w:t>
      </w:r>
      <w:r>
        <w:rPr>
          <w:rFonts w:hint="eastAsia" w:ascii="方正仿宋_GBK" w:hAnsi="宋体" w:eastAsia="方正仿宋_GBK"/>
        </w:rPr>
        <w:t>应急救援队伍保障能力提升工程</w:t>
      </w:r>
      <w:bookmarkEnd w:id="145"/>
    </w:p>
    <w:p w14:paraId="5B4C70AA">
      <w:pPr>
        <w:pStyle w:val="4"/>
        <w:spacing w:line="579" w:lineRule="exact"/>
        <w:ind w:firstLine="640"/>
        <w:rPr>
          <w:rFonts w:ascii="方正仿宋_GBK" w:eastAsia="方正仿宋_GBK"/>
          <w:szCs w:val="32"/>
        </w:rPr>
      </w:pPr>
      <w:r>
        <w:rPr>
          <w:rFonts w:hint="eastAsia" w:ascii="方正仿宋_GBK" w:eastAsia="方正仿宋_GBK"/>
          <w:szCs w:val="32"/>
        </w:rPr>
        <w:t>维护一套区级应急队伍数据库，包含公安、消防、武警、军队等骨干和突击力量资源库，专业应急救援队伍、各行业领域专家、社会救援力量、基层救援力量与一体的应急队伍资源库，对接市级相关平台，建设形成区域级应急救援队伍资源池，并长期维护和管理。</w:t>
      </w:r>
    </w:p>
    <w:p w14:paraId="039BACA5">
      <w:pPr>
        <w:pStyle w:val="6"/>
        <w:adjustRightInd w:val="0"/>
        <w:snapToGrid w:val="0"/>
        <w:spacing w:before="0" w:after="0" w:line="579" w:lineRule="exact"/>
        <w:ind w:firstLine="640" w:firstLineChars="200"/>
        <w:rPr>
          <w:rFonts w:ascii="方正仿宋_GBK" w:hAnsi="宋体" w:eastAsia="方正仿宋_GBK"/>
        </w:rPr>
      </w:pPr>
      <w:bookmarkStart w:id="146" w:name="_Toc87275382"/>
      <w:r>
        <w:rPr>
          <w:rFonts w:ascii="方正仿宋_GBK" w:hAnsi="宋体" w:eastAsia="方正仿宋_GBK"/>
        </w:rPr>
        <w:t>3.</w:t>
      </w:r>
      <w:r>
        <w:rPr>
          <w:rFonts w:hint="eastAsia" w:ascii="方正仿宋_GBK" w:hAnsi="宋体" w:eastAsia="方正仿宋_GBK"/>
        </w:rPr>
        <w:t>执法装备配备保障能力提升工程</w:t>
      </w:r>
      <w:bookmarkEnd w:id="146"/>
    </w:p>
    <w:p w14:paraId="08F6B948">
      <w:pPr>
        <w:pStyle w:val="4"/>
        <w:spacing w:line="579" w:lineRule="exact"/>
        <w:ind w:firstLine="640"/>
        <w:rPr>
          <w:rFonts w:ascii="方正仿宋_GBK" w:eastAsia="方正仿宋_GBK"/>
          <w:szCs w:val="32"/>
        </w:rPr>
      </w:pPr>
      <w:r>
        <w:rPr>
          <w:rFonts w:hint="eastAsia" w:ascii="方正仿宋_GBK" w:eastAsia="方正仿宋_GBK"/>
          <w:szCs w:val="32"/>
        </w:rPr>
        <w:t>按照应急管理综合行政执法装备标准，为区级、街道执法队伍配备统一着装，补充配备执法装备、执法车辆、远程监管设施、智能监管设施，强化突发事件应对和现场指挥能力建设。</w:t>
      </w:r>
    </w:p>
    <w:p w14:paraId="0ED0DEE2">
      <w:pPr>
        <w:pStyle w:val="5"/>
        <w:keepNext/>
        <w:keepLines/>
        <w:spacing w:before="0" w:line="579" w:lineRule="exact"/>
        <w:ind w:firstLine="640" w:firstLineChars="200"/>
        <w:rPr>
          <w:rFonts w:ascii="方正楷体_GBK" w:hAnsi="Times New Roman" w:eastAsia="方正楷体_GBK"/>
          <w:b w:val="0"/>
          <w:bCs/>
          <w:sz w:val="32"/>
          <w:szCs w:val="32"/>
        </w:rPr>
      </w:pPr>
      <w:bookmarkStart w:id="147" w:name="_Toc75618166"/>
      <w:bookmarkStart w:id="148" w:name="_Toc87275383"/>
      <w:r>
        <w:rPr>
          <w:rFonts w:hint="eastAsia" w:ascii="方正楷体_GBK" w:hAnsi="Times New Roman" w:eastAsia="方正楷体_GBK"/>
          <w:b w:val="0"/>
          <w:bCs/>
          <w:sz w:val="32"/>
          <w:szCs w:val="32"/>
        </w:rPr>
        <w:t>（三）指挥救援能力提升工程</w:t>
      </w:r>
      <w:bookmarkEnd w:id="147"/>
      <w:bookmarkEnd w:id="148"/>
    </w:p>
    <w:p w14:paraId="115BB2B4">
      <w:pPr>
        <w:pStyle w:val="6"/>
        <w:adjustRightInd w:val="0"/>
        <w:snapToGrid w:val="0"/>
        <w:spacing w:before="0" w:after="0" w:line="579" w:lineRule="exact"/>
        <w:ind w:firstLine="640" w:firstLineChars="200"/>
        <w:rPr>
          <w:rFonts w:ascii="方正仿宋_GBK" w:hAnsi="宋体" w:eastAsia="方正仿宋_GBK"/>
        </w:rPr>
      </w:pPr>
      <w:bookmarkStart w:id="149" w:name="_Toc87275384"/>
      <w:r>
        <w:rPr>
          <w:rFonts w:ascii="方正仿宋_GBK" w:hAnsi="宋体" w:eastAsia="方正仿宋_GBK"/>
        </w:rPr>
        <w:t>1.</w:t>
      </w:r>
      <w:r>
        <w:rPr>
          <w:rFonts w:hint="eastAsia" w:ascii="方正仿宋_GBK" w:hAnsi="宋体" w:eastAsia="方正仿宋_GBK"/>
        </w:rPr>
        <w:t>区级高标准应急指挥中心建设工程</w:t>
      </w:r>
      <w:bookmarkEnd w:id="149"/>
    </w:p>
    <w:p w14:paraId="585CF00C">
      <w:pPr>
        <w:pStyle w:val="20"/>
        <w:spacing w:after="0" w:line="579" w:lineRule="exact"/>
        <w:ind w:firstLine="640" w:firstLineChars="200"/>
        <w:rPr>
          <w:rFonts w:ascii="方正仿宋_GBK" w:eastAsia="方正仿宋_GBK"/>
          <w:bCs/>
          <w:szCs w:val="32"/>
        </w:rPr>
      </w:pPr>
      <w:r>
        <w:rPr>
          <w:rFonts w:hint="eastAsia" w:ascii="方正仿宋_GBK" w:eastAsia="方正仿宋_GBK"/>
          <w:bCs/>
          <w:szCs w:val="32"/>
        </w:rPr>
        <w:t>按照统一指挥、专常兼备、反应灵敏、上下联动、平战结合的应急管理机制要求，依据集约建设原则，高标准建设系统先进、绿色节能、反应灵敏、协调有序、运转高效、功能齐全、保障有力的应急指挥中心。涵盖应急指挥中心实体大厅建设，功能区域及配套建设以及集约化的支撑系统建设，前面支撑我区应急救援和保障能力支撑。</w:t>
      </w:r>
    </w:p>
    <w:p w14:paraId="0A75E11C">
      <w:pPr>
        <w:pStyle w:val="6"/>
        <w:adjustRightInd w:val="0"/>
        <w:snapToGrid w:val="0"/>
        <w:spacing w:before="0" w:after="0" w:line="579" w:lineRule="exact"/>
        <w:ind w:firstLine="640" w:firstLineChars="200"/>
        <w:rPr>
          <w:rFonts w:ascii="方正仿宋_GBK" w:eastAsia="方正仿宋_GBK"/>
        </w:rPr>
      </w:pPr>
      <w:bookmarkStart w:id="150" w:name="_Toc87275385"/>
      <w:r>
        <w:rPr>
          <w:rFonts w:ascii="方正仿宋_GBK" w:eastAsia="方正仿宋_GBK"/>
        </w:rPr>
        <w:t>2.</w:t>
      </w:r>
      <w:r>
        <w:rPr>
          <w:rFonts w:hint="eastAsia" w:ascii="方正仿宋_GBK" w:eastAsia="方正仿宋_GBK"/>
        </w:rPr>
        <w:t>基层完备的应急救援能力建设工程</w:t>
      </w:r>
      <w:bookmarkEnd w:id="150"/>
    </w:p>
    <w:p w14:paraId="57EAE295">
      <w:pPr>
        <w:pStyle w:val="20"/>
        <w:spacing w:after="0" w:line="579" w:lineRule="exact"/>
        <w:ind w:firstLine="640" w:firstLineChars="200"/>
        <w:rPr>
          <w:rFonts w:ascii="方正仿宋_GBK" w:eastAsia="方正仿宋_GBK"/>
          <w:bCs/>
          <w:szCs w:val="32"/>
        </w:rPr>
      </w:pPr>
      <w:r>
        <w:rPr>
          <w:rFonts w:hint="eastAsia" w:ascii="方正仿宋_GBK" w:eastAsia="方正仿宋_GBK"/>
          <w:szCs w:val="32"/>
        </w:rPr>
        <w:t>统一建设基层移动智能设备小平台，强化非常态下的事件定位、图像回传、音视频会商、信息直报等能力建设。统一配备应急救援车辆，提升基层应急物资及装备转运能力建设。基层</w:t>
      </w:r>
      <w:r>
        <w:rPr>
          <w:rFonts w:hint="eastAsia" w:ascii="方正仿宋_GBK" w:hAnsi="方正仿宋_GBK" w:eastAsia="方正仿宋_GBK" w:cs="方正仿宋_GBK"/>
          <w:szCs w:val="32"/>
        </w:rPr>
        <w:t>应急管理综合执法配套工程。按照应急管理综合行政执法装备标准，为基层执法队伍配备统一着装，补充配备执法装备、执法车辆、远程监管设施、智能监管设施。</w:t>
      </w:r>
      <w:r>
        <w:rPr>
          <w:rFonts w:hint="eastAsia" w:ascii="方正仿宋_GBK" w:eastAsia="方正仿宋_GBK"/>
          <w:szCs w:val="32"/>
        </w:rPr>
        <w:t>统一打造基层应急救援知识宣教场所，提升基层应急救援队伍能力建设。</w:t>
      </w:r>
      <w:r>
        <w:rPr>
          <w:rFonts w:hint="eastAsia" w:ascii="方正仿宋_GBK" w:hAnsi="方正仿宋_GBK" w:eastAsia="方正仿宋_GBK" w:cs="方正仿宋_GBK"/>
          <w:szCs w:val="32"/>
        </w:rPr>
        <w:t>建设基层应急指挥标准化工程,完善基层应急指挥平台建设，配置统一的硬件设施和软件系统。</w:t>
      </w:r>
    </w:p>
    <w:p w14:paraId="799FC8A8">
      <w:pPr>
        <w:pStyle w:val="6"/>
        <w:adjustRightInd w:val="0"/>
        <w:snapToGrid w:val="0"/>
        <w:spacing w:before="0" w:after="0" w:line="579" w:lineRule="exact"/>
        <w:ind w:firstLine="640" w:firstLineChars="200"/>
        <w:rPr>
          <w:rFonts w:ascii="方正仿宋_GBK" w:hAnsi="宋体" w:eastAsia="方正仿宋_GBK"/>
        </w:rPr>
      </w:pPr>
      <w:bookmarkStart w:id="151" w:name="_Toc87275386"/>
      <w:bookmarkStart w:id="152" w:name="_Toc12200231"/>
      <w:r>
        <w:rPr>
          <w:rFonts w:ascii="方正仿宋_GBK" w:hAnsi="宋体" w:eastAsia="方正仿宋_GBK"/>
        </w:rPr>
        <w:t>3.</w:t>
      </w:r>
      <w:r>
        <w:rPr>
          <w:rFonts w:hint="eastAsia" w:ascii="方正仿宋_GBK" w:hAnsi="宋体" w:eastAsia="方正仿宋_GBK"/>
        </w:rPr>
        <w:t>重特大突发事件应急运输能力提升工程</w:t>
      </w:r>
      <w:bookmarkEnd w:id="151"/>
    </w:p>
    <w:p w14:paraId="5F55A71B">
      <w:pPr>
        <w:pStyle w:val="20"/>
        <w:spacing w:after="0" w:line="579" w:lineRule="exact"/>
        <w:ind w:firstLine="640" w:firstLineChars="200"/>
        <w:rPr>
          <w:rFonts w:ascii="方正仿宋_GBK" w:eastAsia="方正仿宋_GBK"/>
          <w:szCs w:val="32"/>
        </w:rPr>
      </w:pPr>
      <w:r>
        <w:rPr>
          <w:rFonts w:hint="eastAsia" w:ascii="方正仿宋_GBK" w:hAnsi="宋体" w:eastAsia="方正仿宋_GBK"/>
          <w:bCs/>
          <w:szCs w:val="32"/>
        </w:rPr>
        <w:t>贯彻党的十九大和十九届五中全会关于统筹发展和安全，建设更高水平的平安中国，推进区域协调发展的重要精神，夯实西部大开发和成渝地区双城经济圈战略实施，紧抓机制改革新机遇，建立西部区域重特大突发事件应急运输保障能力工程。依托重庆市客运枢纽网络、货运枢纽网络以及配套设施建设，综合机场、铁路、公路、水运等，研究和制定以重庆为中心，覆盖成渝地区乃至西部地区，辐射全国的应急资源运输能力提升方案，推进应急立体化运输保障能力建设。建立和完善应急物资综合交通运输保障大通道，综合交通枢纽网络，加快城市群和都市圈轨道交通网络化，使我区在应对重特大突发事件时，进行跨省际、跨层级、跨平台应急救援队伍、物资、装备调度转运能力得到极大提升，最大化打通应急资源运输保障的生命救援大通道。</w:t>
      </w:r>
    </w:p>
    <w:bookmarkEnd w:id="152"/>
    <w:p w14:paraId="2162276C">
      <w:pPr>
        <w:pStyle w:val="5"/>
        <w:keepNext/>
        <w:keepLines/>
        <w:spacing w:before="0" w:line="579" w:lineRule="exact"/>
        <w:ind w:firstLine="640" w:firstLineChars="200"/>
        <w:rPr>
          <w:rFonts w:ascii="方正楷体_GBK" w:hAnsi="Times New Roman" w:eastAsia="方正楷体_GBK"/>
          <w:b w:val="0"/>
          <w:bCs/>
          <w:sz w:val="32"/>
          <w:szCs w:val="32"/>
        </w:rPr>
      </w:pPr>
      <w:bookmarkStart w:id="153" w:name="_Toc75618167"/>
      <w:bookmarkStart w:id="154" w:name="_Toc87275387"/>
      <w:bookmarkStart w:id="155" w:name="_Toc12200237"/>
      <w:r>
        <w:rPr>
          <w:rFonts w:hint="eastAsia" w:ascii="方正楷体_GBK" w:hAnsi="Times New Roman" w:eastAsia="方正楷体_GBK"/>
          <w:b w:val="0"/>
          <w:bCs/>
          <w:sz w:val="32"/>
          <w:szCs w:val="32"/>
        </w:rPr>
        <w:t>（四）智慧应急能力提升工程</w:t>
      </w:r>
      <w:bookmarkEnd w:id="153"/>
      <w:bookmarkEnd w:id="154"/>
    </w:p>
    <w:p w14:paraId="0D252CD6">
      <w:pPr>
        <w:pStyle w:val="6"/>
        <w:adjustRightInd w:val="0"/>
        <w:snapToGrid w:val="0"/>
        <w:spacing w:before="0" w:after="0" w:line="579" w:lineRule="exact"/>
        <w:ind w:firstLine="640" w:firstLineChars="200"/>
        <w:rPr>
          <w:rFonts w:ascii="方正仿宋_GBK" w:hAnsi="宋体" w:eastAsia="方正仿宋_GBK"/>
        </w:rPr>
      </w:pPr>
      <w:bookmarkStart w:id="156" w:name="_Toc87275388"/>
      <w:r>
        <w:rPr>
          <w:rFonts w:hint="eastAsia" w:ascii="方正仿宋_GBK" w:hAnsi="宋体" w:eastAsia="方正仿宋_GBK"/>
        </w:rPr>
        <w:t>1.应急感知能力提升工程</w:t>
      </w:r>
      <w:bookmarkEnd w:id="156"/>
    </w:p>
    <w:p w14:paraId="43B7A793">
      <w:pPr>
        <w:pStyle w:val="67"/>
        <w:spacing w:line="579" w:lineRule="exact"/>
        <w:ind w:firstLine="640"/>
        <w:rPr>
          <w:rFonts w:ascii="方正仿宋_GBK" w:eastAsia="方正仿宋_GBK"/>
          <w:bCs/>
          <w:sz w:val="32"/>
          <w:szCs w:val="32"/>
        </w:rPr>
      </w:pPr>
      <w:r>
        <w:rPr>
          <w:rFonts w:hint="eastAsia" w:ascii="方正仿宋_GBK" w:eastAsia="方正仿宋_GBK"/>
          <w:bCs/>
          <w:sz w:val="32"/>
          <w:szCs w:val="32"/>
        </w:rPr>
        <w:t>通过物联网、卫星遥感、视频识别、5G等技术，形成空、天、地一体化全覆盖的自然灾害和生产安全事故监测感知网络；完善各领域自然灾害、危险化学品、油气管道、烟花爆竹、工贸等重点行业安全风险监测感知网络，整合汇聚自然灾害、安全生产、交通运输、公共卫生等行业领域监测子网数据，建设全区安全风险监测预警体系。</w:t>
      </w:r>
    </w:p>
    <w:p w14:paraId="46928412">
      <w:pPr>
        <w:pStyle w:val="6"/>
        <w:adjustRightInd w:val="0"/>
        <w:snapToGrid w:val="0"/>
        <w:spacing w:before="0" w:after="0" w:line="579" w:lineRule="exact"/>
        <w:ind w:firstLine="640" w:firstLineChars="200"/>
        <w:rPr>
          <w:rFonts w:ascii="方正仿宋_GBK" w:hAnsi="宋体" w:eastAsia="方正仿宋_GBK"/>
        </w:rPr>
      </w:pPr>
      <w:bookmarkStart w:id="157" w:name="_Toc12200228"/>
      <w:bookmarkStart w:id="158" w:name="_Toc87275389"/>
      <w:bookmarkStart w:id="159" w:name="_Toc10461542"/>
      <w:r>
        <w:rPr>
          <w:rFonts w:hint="eastAsia" w:ascii="方正仿宋_GBK" w:hAnsi="宋体" w:eastAsia="方正仿宋_GBK"/>
        </w:rPr>
        <w:t>2.通信保障能力提升工程</w:t>
      </w:r>
      <w:bookmarkEnd w:id="157"/>
      <w:bookmarkEnd w:id="158"/>
      <w:bookmarkEnd w:id="159"/>
    </w:p>
    <w:p w14:paraId="1EA422D7">
      <w:pPr>
        <w:pStyle w:val="67"/>
        <w:spacing w:line="579" w:lineRule="exact"/>
        <w:ind w:firstLine="640"/>
        <w:rPr>
          <w:rFonts w:ascii="方正仿宋_GBK" w:hAnsi="Times New Roman" w:eastAsia="方正仿宋_GBK"/>
          <w:sz w:val="32"/>
          <w:szCs w:val="32"/>
        </w:rPr>
      </w:pPr>
      <w:r>
        <w:rPr>
          <w:rFonts w:hint="eastAsia" w:ascii="方正仿宋_GBK" w:eastAsia="方正仿宋_GBK"/>
          <w:bCs/>
          <w:sz w:val="32"/>
          <w:szCs w:val="32"/>
        </w:rPr>
        <w:t>在指挥信息网建设基础上，完成指挥信息网与消防指挥调度网、地震监测预警网的全面融合，进一步开展指挥信息网深度应用、充分释放指挥信息网的优势能力；建设应急管理日常办公和应急救援现场公专统一、平战结合、宽窄融合的应急指挥无线通信网。</w:t>
      </w:r>
    </w:p>
    <w:p w14:paraId="355ACE96">
      <w:pPr>
        <w:pStyle w:val="6"/>
        <w:adjustRightInd w:val="0"/>
        <w:snapToGrid w:val="0"/>
        <w:spacing w:before="0" w:after="0" w:line="579" w:lineRule="exact"/>
        <w:ind w:firstLine="640" w:firstLineChars="200"/>
        <w:rPr>
          <w:rFonts w:ascii="方正仿宋_GBK" w:eastAsia="方正仿宋_GBK"/>
          <w:bCs/>
        </w:rPr>
      </w:pPr>
      <w:bookmarkStart w:id="160" w:name="_Toc87275390"/>
      <w:r>
        <w:rPr>
          <w:rFonts w:hint="eastAsia" w:ascii="方正仿宋_GBK" w:hAnsi="宋体" w:eastAsia="方正仿宋_GBK"/>
        </w:rPr>
        <w:t>3</w:t>
      </w:r>
      <w:r>
        <w:rPr>
          <w:rFonts w:ascii="方正仿宋_GBK" w:hAnsi="宋体" w:eastAsia="方正仿宋_GBK"/>
        </w:rPr>
        <w:t>.</w:t>
      </w:r>
      <w:r>
        <w:rPr>
          <w:rFonts w:hint="eastAsia" w:ascii="方正仿宋_GBK" w:eastAsia="方正仿宋_GBK"/>
          <w:bCs/>
        </w:rPr>
        <w:t>应急管理数据支撑体系建设。</w:t>
      </w:r>
      <w:bookmarkEnd w:id="160"/>
    </w:p>
    <w:p w14:paraId="26E2441F">
      <w:pPr>
        <w:pStyle w:val="67"/>
        <w:spacing w:line="579" w:lineRule="exact"/>
        <w:ind w:firstLine="640"/>
        <w:rPr>
          <w:rFonts w:ascii="方正仿宋_GBK" w:hAnsi="Times New Roman" w:eastAsia="方正仿宋_GBK"/>
          <w:bCs/>
          <w:sz w:val="32"/>
          <w:szCs w:val="32"/>
        </w:rPr>
      </w:pPr>
      <w:r>
        <w:rPr>
          <w:rFonts w:hint="eastAsia" w:ascii="方正仿宋_GBK" w:hAnsi="Times New Roman" w:eastAsia="方正仿宋_GBK"/>
          <w:bCs/>
          <w:sz w:val="32"/>
          <w:szCs w:val="32"/>
        </w:rPr>
        <w:t>基于两江新区政务信息资源共享平台成果，完善应急管理数据资源体系，建设我区应急管理数据治理平台。实现与部级、重庆市应急管理数据治理系统之间的数据对接，实现与两江新区政务信息资源共享平台的数据共享交换，实现为应急管理部门内部业务系统提供数据服务支撑，实现与外部其他部门业务系统之间的数据共享交换。</w:t>
      </w:r>
    </w:p>
    <w:p w14:paraId="28878E53">
      <w:pPr>
        <w:pStyle w:val="6"/>
        <w:adjustRightInd w:val="0"/>
        <w:snapToGrid w:val="0"/>
        <w:spacing w:before="0" w:after="0" w:line="579" w:lineRule="exact"/>
        <w:ind w:firstLine="640" w:firstLineChars="200"/>
        <w:rPr>
          <w:rFonts w:ascii="方正仿宋_GBK" w:eastAsia="方正仿宋_GBK"/>
          <w:b w:val="0"/>
        </w:rPr>
      </w:pPr>
      <w:bookmarkStart w:id="161" w:name="_Toc87275391"/>
      <w:r>
        <w:rPr>
          <w:rFonts w:hint="eastAsia" w:ascii="方正仿宋_GBK" w:eastAsia="方正仿宋_GBK"/>
        </w:rPr>
        <w:t>4</w:t>
      </w:r>
      <w:r>
        <w:rPr>
          <w:rFonts w:ascii="方正仿宋_GBK" w:eastAsia="方正仿宋_GBK"/>
        </w:rPr>
        <w:t>.</w:t>
      </w:r>
      <w:r>
        <w:rPr>
          <w:rFonts w:hint="eastAsia" w:ascii="方正仿宋_GBK" w:eastAsia="方正仿宋_GBK"/>
        </w:rPr>
        <w:t>应急指挥综合业务平台建设工程</w:t>
      </w:r>
      <w:bookmarkEnd w:id="161"/>
    </w:p>
    <w:p w14:paraId="12BBB7FA">
      <w:pPr>
        <w:pStyle w:val="67"/>
        <w:spacing w:line="579" w:lineRule="exact"/>
        <w:ind w:firstLine="640"/>
        <w:rPr>
          <w:rFonts w:ascii="方正仿宋_GBK" w:eastAsia="方正仿宋_GBK"/>
          <w:sz w:val="32"/>
          <w:szCs w:val="32"/>
        </w:rPr>
      </w:pPr>
      <w:r>
        <w:rPr>
          <w:rFonts w:hint="eastAsia" w:ascii="方正仿宋_GBK" w:hAnsi="Times New Roman" w:eastAsia="方正仿宋_GBK"/>
          <w:bCs/>
          <w:sz w:val="32"/>
          <w:szCs w:val="32"/>
        </w:rPr>
        <w:t>依托应急指挥信息网，</w:t>
      </w:r>
      <w:r>
        <w:rPr>
          <w:rFonts w:hint="eastAsia" w:ascii="方正仿宋_GBK" w:hAnsi="Times New Roman" w:eastAsia="方正仿宋_GBK"/>
          <w:sz w:val="32"/>
          <w:szCs w:val="32"/>
        </w:rPr>
        <w:t>建设</w:t>
      </w:r>
      <w:r>
        <w:rPr>
          <w:rFonts w:hint="eastAsia" w:ascii="方正仿宋_GBK" w:hAnsi="Times New Roman" w:eastAsia="方正仿宋_GBK"/>
          <w:bCs/>
          <w:sz w:val="32"/>
          <w:szCs w:val="32"/>
        </w:rPr>
        <w:t>应急指挥综合业务平台系统。突出信息全面汇聚、快速展现、上传下达、协同会商、专题研判、指挥调度和辅助决策等能力，实现我区应急救援智能化、扁平化和一体化作战指挥。</w:t>
      </w:r>
    </w:p>
    <w:p w14:paraId="4F415411">
      <w:pPr>
        <w:pStyle w:val="6"/>
        <w:adjustRightInd w:val="0"/>
        <w:snapToGrid w:val="0"/>
        <w:spacing w:before="0" w:after="0" w:line="579" w:lineRule="exact"/>
        <w:ind w:firstLine="640" w:firstLineChars="200"/>
        <w:rPr>
          <w:rFonts w:ascii="方正仿宋_GBK" w:eastAsia="方正仿宋_GBK"/>
          <w:b w:val="0"/>
        </w:rPr>
      </w:pPr>
      <w:bookmarkStart w:id="162" w:name="_Toc87275392"/>
      <w:r>
        <w:rPr>
          <w:rFonts w:hint="eastAsia" w:ascii="方正仿宋_GBK" w:eastAsia="方正仿宋_GBK"/>
        </w:rPr>
        <w:t>5.自然灾害综合风险监测预警系统建设工程</w:t>
      </w:r>
      <w:bookmarkEnd w:id="162"/>
    </w:p>
    <w:p w14:paraId="0AFB2D16">
      <w:pPr>
        <w:pStyle w:val="67"/>
        <w:spacing w:line="579" w:lineRule="exact"/>
        <w:ind w:firstLine="640"/>
        <w:rPr>
          <w:rFonts w:ascii="方正仿宋_GBK" w:hAnsi="Times New Roman" w:eastAsia="方正仿宋_GBK"/>
          <w:bCs/>
          <w:sz w:val="32"/>
          <w:szCs w:val="32"/>
        </w:rPr>
      </w:pPr>
      <w:r>
        <w:rPr>
          <w:rFonts w:hint="eastAsia" w:ascii="方正仿宋_GBK" w:hAnsi="Times New Roman" w:eastAsia="方正仿宋_GBK"/>
          <w:bCs/>
          <w:sz w:val="32"/>
          <w:szCs w:val="32"/>
        </w:rPr>
        <w:t>建设自然灾害监测预警系统，结合我区自然灾害种类和特征，针对地震、地质、气象、水旱、森林火灾等灾害，利用风险评估、趋势推演、多灾种灾害链分析以及灾损评估等各类模型，提升自然灾害综合风险评估和预警能力。建设安全生产风险监测预警系统，实现对高危行业企业安全风险的监测、评估、预警和趋势分析，强化安全生产风险的分类分级管理，为重点监管、精准执法、科学施策提供支撑，有效遏制重特大事故发生。</w:t>
      </w:r>
    </w:p>
    <w:p w14:paraId="0DAC2BCD">
      <w:pPr>
        <w:pStyle w:val="6"/>
        <w:adjustRightInd w:val="0"/>
        <w:snapToGrid w:val="0"/>
        <w:spacing w:before="0" w:after="0" w:line="579" w:lineRule="exact"/>
        <w:ind w:firstLine="640" w:firstLineChars="200"/>
        <w:rPr>
          <w:rFonts w:ascii="方正仿宋_GBK" w:eastAsia="方正仿宋_GBK"/>
          <w:b w:val="0"/>
        </w:rPr>
      </w:pPr>
      <w:bookmarkStart w:id="163" w:name="_Toc87275393"/>
      <w:r>
        <w:rPr>
          <w:rFonts w:hint="eastAsia" w:ascii="方正仿宋_GBK" w:eastAsia="方正仿宋_GBK"/>
        </w:rPr>
        <w:t>6</w:t>
      </w:r>
      <w:r>
        <w:rPr>
          <w:rFonts w:ascii="方正仿宋_GBK" w:eastAsia="方正仿宋_GBK"/>
        </w:rPr>
        <w:t>.</w:t>
      </w:r>
      <w:r>
        <w:rPr>
          <w:rFonts w:hint="eastAsia" w:ascii="方正仿宋_GBK" w:eastAsia="方正仿宋_GBK"/>
        </w:rPr>
        <w:t>安全生产监测预警系统建设工程</w:t>
      </w:r>
      <w:bookmarkEnd w:id="163"/>
    </w:p>
    <w:p w14:paraId="27B673D4">
      <w:pPr>
        <w:pStyle w:val="67"/>
        <w:spacing w:line="579" w:lineRule="exact"/>
        <w:ind w:firstLine="640"/>
        <w:rPr>
          <w:rFonts w:ascii="方正仿宋_GBK" w:hAnsi="Times New Roman" w:eastAsia="方正仿宋_GBK"/>
          <w:bCs/>
          <w:sz w:val="32"/>
          <w:szCs w:val="32"/>
        </w:rPr>
      </w:pPr>
      <w:r>
        <w:rPr>
          <w:rFonts w:hint="eastAsia" w:ascii="方正仿宋_GBK" w:hAnsi="Times New Roman" w:eastAsia="方正仿宋_GBK"/>
          <w:bCs/>
          <w:sz w:val="32"/>
          <w:szCs w:val="32"/>
        </w:rPr>
        <w:t>建设全区覆盖的安全生产智慧化监测预警体系，推进安全生产监测预警、城市安全风险监测预警等建设，开展全业务域安全生产感知数据接入汇聚，构造安全生产灾害事故风险监测预警平台，提高监测预警科学性、精准性和时效性。</w:t>
      </w:r>
    </w:p>
    <w:p w14:paraId="24A52893">
      <w:pPr>
        <w:pStyle w:val="6"/>
        <w:adjustRightInd w:val="0"/>
        <w:snapToGrid w:val="0"/>
        <w:spacing w:before="0" w:after="0" w:line="579" w:lineRule="exact"/>
        <w:ind w:firstLine="640" w:firstLineChars="200"/>
        <w:rPr>
          <w:rFonts w:ascii="方正仿宋_GBK" w:eastAsia="方正仿宋_GBK"/>
          <w:b w:val="0"/>
        </w:rPr>
      </w:pPr>
      <w:bookmarkStart w:id="164" w:name="_Toc87275394"/>
      <w:r>
        <w:rPr>
          <w:rFonts w:hint="eastAsia" w:ascii="方正仿宋_GBK" w:eastAsia="方正仿宋_GBK"/>
        </w:rPr>
        <w:t>7</w:t>
      </w:r>
      <w:r>
        <w:rPr>
          <w:rFonts w:ascii="方正仿宋_GBK" w:eastAsia="方正仿宋_GBK"/>
        </w:rPr>
        <w:t>.</w:t>
      </w:r>
      <w:r>
        <w:rPr>
          <w:rFonts w:hint="eastAsia" w:ascii="方正仿宋_GBK" w:eastAsia="方正仿宋_GBK"/>
        </w:rPr>
        <w:t>智能化应急决策支撑平台建设工程</w:t>
      </w:r>
      <w:bookmarkEnd w:id="164"/>
    </w:p>
    <w:p w14:paraId="2C5C85CA">
      <w:pPr>
        <w:pStyle w:val="67"/>
        <w:spacing w:line="579" w:lineRule="exact"/>
        <w:ind w:firstLine="640"/>
        <w:rPr>
          <w:rFonts w:ascii="方正仿宋_GBK" w:hAnsi="Times New Roman" w:eastAsia="方正仿宋_GBK"/>
          <w:bCs/>
          <w:sz w:val="32"/>
          <w:szCs w:val="32"/>
        </w:rPr>
      </w:pPr>
      <w:r>
        <w:rPr>
          <w:rFonts w:hint="eastAsia" w:ascii="方正仿宋_GBK" w:hAnsi="Times New Roman" w:eastAsia="方正仿宋_GBK"/>
          <w:bCs/>
          <w:sz w:val="32"/>
          <w:szCs w:val="32"/>
        </w:rPr>
        <w:t>建设全过程的智慧化辅助决策体系，构建灾害事故模拟仿真平台，实现灾情全风险、全领域、全过程的态势感知和党、政、军、民应急救援行动“一张图”指挥调度，打造应急指挥智能参谋助手。构建全区各有关部门、社会力量、企业产能全面实时汇聚的应急资源管理平台，做到资源全掌控、调度全统一、过程可追溯，显著提升应急保障能力。</w:t>
      </w:r>
    </w:p>
    <w:p w14:paraId="6C0CB441">
      <w:pPr>
        <w:pStyle w:val="6"/>
        <w:adjustRightInd w:val="0"/>
        <w:snapToGrid w:val="0"/>
        <w:spacing w:before="0" w:after="0" w:line="579" w:lineRule="exact"/>
        <w:ind w:firstLine="640" w:firstLineChars="200"/>
        <w:rPr>
          <w:rFonts w:ascii="方正仿宋_GBK" w:eastAsia="方正仿宋_GBK"/>
          <w:b w:val="0"/>
        </w:rPr>
      </w:pPr>
      <w:bookmarkStart w:id="165" w:name="_Toc87275395"/>
      <w:r>
        <w:rPr>
          <w:rFonts w:hint="eastAsia" w:ascii="方正仿宋_GBK" w:eastAsia="方正仿宋_GBK"/>
        </w:rPr>
        <w:t>8</w:t>
      </w:r>
      <w:r>
        <w:rPr>
          <w:rFonts w:ascii="方正仿宋_GBK" w:eastAsia="方正仿宋_GBK"/>
        </w:rPr>
        <w:t>.</w:t>
      </w:r>
      <w:r>
        <w:rPr>
          <w:rFonts w:hint="eastAsia" w:ascii="方正仿宋_GBK" w:eastAsia="方正仿宋_GBK"/>
        </w:rPr>
        <w:t>一体化监管执法系统建设工程</w:t>
      </w:r>
      <w:bookmarkEnd w:id="165"/>
    </w:p>
    <w:p w14:paraId="3E1C03CD">
      <w:pPr>
        <w:pStyle w:val="67"/>
        <w:spacing w:line="579" w:lineRule="exact"/>
        <w:ind w:firstLine="640"/>
        <w:rPr>
          <w:rFonts w:ascii="方正仿宋_GBK" w:hAnsi="Times New Roman" w:eastAsia="方正仿宋_GBK"/>
          <w:bCs/>
          <w:sz w:val="32"/>
          <w:szCs w:val="32"/>
        </w:rPr>
      </w:pPr>
      <w:r>
        <w:rPr>
          <w:rFonts w:hint="eastAsia" w:ascii="方正仿宋_GBK" w:hAnsi="Times New Roman" w:eastAsia="方正仿宋_GBK"/>
          <w:bCs/>
          <w:sz w:val="32"/>
          <w:szCs w:val="32"/>
        </w:rPr>
        <w:t>建设一体化智慧监管执法体系，推动一体化政务服务平台和“互联网+监管”“互联网+执法”智能化升级和深度应用，提升精准监管水平。</w:t>
      </w:r>
    </w:p>
    <w:bookmarkEnd w:id="155"/>
    <w:p w14:paraId="178DFF39">
      <w:pPr>
        <w:pStyle w:val="2"/>
        <w:keepNext/>
        <w:keepLines/>
        <w:spacing w:before="0" w:line="579" w:lineRule="exact"/>
        <w:ind w:left="640" w:leftChars="200"/>
        <w:rPr>
          <w:rFonts w:ascii="方正黑体_GBK" w:hAnsi="Times New Roman" w:eastAsia="方正黑体_GBK"/>
          <w:b w:val="0"/>
          <w:bCs/>
          <w:kern w:val="44"/>
        </w:rPr>
      </w:pPr>
      <w:bookmarkStart w:id="166" w:name="_Toc75618168"/>
      <w:bookmarkStart w:id="167" w:name="_Toc87275396"/>
      <w:r>
        <w:rPr>
          <w:rFonts w:hint="eastAsia" w:ascii="方正黑体_GBK" w:hAnsi="Times New Roman" w:eastAsia="方正黑体_GBK"/>
          <w:b w:val="0"/>
          <w:bCs/>
          <w:kern w:val="44"/>
        </w:rPr>
        <w:t>六、保障措施</w:t>
      </w:r>
      <w:bookmarkEnd w:id="136"/>
      <w:bookmarkEnd w:id="166"/>
      <w:bookmarkEnd w:id="167"/>
    </w:p>
    <w:p w14:paraId="52359801">
      <w:pPr>
        <w:pStyle w:val="5"/>
        <w:keepNext/>
        <w:keepLines/>
        <w:spacing w:before="0" w:line="579" w:lineRule="exact"/>
        <w:ind w:firstLine="640" w:firstLineChars="200"/>
        <w:rPr>
          <w:rFonts w:ascii="方正楷体_GBK" w:hAnsi="Times New Roman" w:eastAsia="方正楷体_GBK"/>
          <w:b w:val="0"/>
          <w:bCs/>
          <w:sz w:val="32"/>
          <w:szCs w:val="32"/>
        </w:rPr>
      </w:pPr>
      <w:bookmarkStart w:id="168" w:name="_Toc87275397"/>
      <w:bookmarkStart w:id="169" w:name="_Toc75618169"/>
      <w:bookmarkStart w:id="170" w:name="_Toc12200258"/>
      <w:r>
        <w:rPr>
          <w:rFonts w:hint="eastAsia" w:ascii="方正楷体_GBK" w:hAnsi="Times New Roman" w:eastAsia="方正楷体_GBK"/>
          <w:b w:val="0"/>
          <w:bCs/>
          <w:sz w:val="32"/>
          <w:szCs w:val="32"/>
        </w:rPr>
        <w:t>（一）加强领导组织</w:t>
      </w:r>
      <w:bookmarkEnd w:id="168"/>
      <w:bookmarkEnd w:id="169"/>
    </w:p>
    <w:p w14:paraId="6CC5B3AC">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区安委会、减灾委要加强规划实施的统筹协调，注重总体设计，在制度体系建设、预案修编演练、突发事件防范应对、风险管理、应急物资储备、人员队伍建设等方面进行决策部署，督促检查重要工作的落实情况。牵头单位、负责单位要切实履行组织协调职责，参与单位积极配合，细化落实工作责任和建设任务。重点项目责任单位要抓紧开展项目可行性研究和项目申报工作，加强项目建设管理，确保项目顺利实施。要完善应急体系重大项目建设管理机制，切实履行职能职责，一级抓一级，做到各司其职、守土有责、责任到人。</w:t>
      </w:r>
    </w:p>
    <w:p w14:paraId="38793768">
      <w:pPr>
        <w:pStyle w:val="5"/>
        <w:keepNext/>
        <w:keepLines/>
        <w:spacing w:before="0" w:line="579" w:lineRule="exact"/>
        <w:ind w:firstLine="640" w:firstLineChars="200"/>
        <w:rPr>
          <w:rFonts w:ascii="方正楷体_GBK" w:hAnsi="Times New Roman" w:eastAsia="方正楷体_GBK"/>
          <w:b w:val="0"/>
          <w:bCs/>
          <w:sz w:val="32"/>
          <w:szCs w:val="32"/>
        </w:rPr>
      </w:pPr>
      <w:bookmarkStart w:id="171" w:name="_Toc75618170"/>
      <w:bookmarkStart w:id="172" w:name="_Toc87275398"/>
      <w:r>
        <w:rPr>
          <w:rFonts w:hint="eastAsia" w:ascii="方正楷体_GBK" w:hAnsi="Times New Roman" w:eastAsia="方正楷体_GBK"/>
          <w:b w:val="0"/>
          <w:bCs/>
          <w:sz w:val="32"/>
          <w:szCs w:val="32"/>
        </w:rPr>
        <w:t>（二）加强机制</w:t>
      </w:r>
      <w:bookmarkEnd w:id="170"/>
      <w:r>
        <w:rPr>
          <w:rFonts w:hint="eastAsia" w:ascii="方正楷体_GBK" w:hAnsi="Times New Roman" w:eastAsia="方正楷体_GBK"/>
          <w:b w:val="0"/>
          <w:bCs/>
          <w:sz w:val="32"/>
          <w:szCs w:val="32"/>
        </w:rPr>
        <w:t>保障</w:t>
      </w:r>
      <w:bookmarkEnd w:id="171"/>
      <w:bookmarkEnd w:id="172"/>
    </w:p>
    <w:p w14:paraId="5AC135D9">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建立统一完备的信息化工作机制，明确职责分工，明确市级与区级的事权关系，加强与同级相关部门的协调沟通。建设信息化配套管理制度，为信息化快速推进提供坚强保障。完善项目管理，健全信息化项目管理和专家咨询制度，强化第三方测评、检验和评估在项目检查、验收中的作用。加强绩效评估，建立应急管理信息化建设与应用绩效指标体系。加强廉政风险管控，强化项目审批和管理各环节的记录、巡查、评估和管控。</w:t>
      </w:r>
    </w:p>
    <w:p w14:paraId="289EC792">
      <w:pPr>
        <w:pStyle w:val="5"/>
        <w:keepNext/>
        <w:keepLines/>
        <w:spacing w:before="0" w:line="579" w:lineRule="exact"/>
        <w:ind w:firstLine="640" w:firstLineChars="200"/>
        <w:rPr>
          <w:rFonts w:ascii="方正楷体_GBK" w:hAnsi="Times New Roman" w:eastAsia="方正楷体_GBK"/>
          <w:b w:val="0"/>
          <w:bCs/>
          <w:sz w:val="32"/>
          <w:szCs w:val="32"/>
        </w:rPr>
      </w:pPr>
      <w:bookmarkStart w:id="173" w:name="_Toc12200259"/>
      <w:bookmarkStart w:id="174" w:name="_Toc87275399"/>
      <w:bookmarkStart w:id="175" w:name="_Toc75618171"/>
      <w:r>
        <w:rPr>
          <w:rFonts w:hint="eastAsia" w:ascii="方正楷体_GBK" w:hAnsi="Times New Roman" w:eastAsia="方正楷体_GBK"/>
          <w:b w:val="0"/>
          <w:bCs/>
          <w:sz w:val="32"/>
          <w:szCs w:val="32"/>
        </w:rPr>
        <w:t>（三）多元科研汇集</w:t>
      </w:r>
      <w:bookmarkEnd w:id="173"/>
      <w:bookmarkEnd w:id="174"/>
      <w:bookmarkEnd w:id="175"/>
    </w:p>
    <w:p w14:paraId="772114AF">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加强技术力量整合，推进与相关领域知名高校、科研院所及信息技术领军企业的长期稳定合作。加强先进技术融合，促进云计算、大数据、物联网、人工智能、移动互联等新一代信息技术与应急管理深度融合集成，开展新技术应用示范工程，推进军民融合。加强全员信息化素质培训教育，建立复合型、创新型核心人才队伍。加强关键技术攻关，充分与应急管理科技发展相结合，组织实施重大专项与重点研发计划，支持科技成果的应用转化。加强产业生态构建，充分发挥市场主体作用，引导应急管理信息服务领域产学研用合作。探索廉政风险可控的内外合作机制，通过政府采购服务外包、社会众包等方式，构建政府、市场、社会等多元主体参与的数据融合开放与开发应用新机制。采用政策、标准、资金补助等多种形式，吸引社会力量参与应急管理信息化建设，培育一批合作意愿强烈、技术实力雄厚的领军企业。</w:t>
      </w:r>
      <w:bookmarkEnd w:id="2"/>
      <w:bookmarkEnd w:id="3"/>
    </w:p>
    <w:p w14:paraId="3D15D706">
      <w:pPr>
        <w:pStyle w:val="5"/>
        <w:keepNext/>
        <w:keepLines/>
        <w:spacing w:before="0" w:line="579" w:lineRule="exact"/>
        <w:ind w:firstLine="640" w:firstLineChars="200"/>
        <w:rPr>
          <w:rFonts w:ascii="方正楷体_GBK" w:hAnsi="Times New Roman" w:eastAsia="方正楷体_GBK"/>
          <w:b w:val="0"/>
          <w:bCs/>
          <w:sz w:val="32"/>
          <w:szCs w:val="32"/>
        </w:rPr>
      </w:pPr>
      <w:bookmarkStart w:id="176" w:name="_Toc75618172"/>
      <w:bookmarkStart w:id="177" w:name="_Toc87275400"/>
      <w:r>
        <w:rPr>
          <w:rFonts w:hint="eastAsia" w:ascii="方正楷体_GBK" w:hAnsi="Times New Roman" w:eastAsia="方正楷体_GBK"/>
          <w:b w:val="0"/>
          <w:bCs/>
          <w:sz w:val="32"/>
          <w:szCs w:val="32"/>
        </w:rPr>
        <w:t>（四）加强经费保障</w:t>
      </w:r>
      <w:bookmarkEnd w:id="176"/>
      <w:bookmarkEnd w:id="177"/>
    </w:p>
    <w:p w14:paraId="5673826A">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按照事权与支出责任相适应的原则，各级财政对规划实施予以合理保障。统筹资金使用，整合优化资源，形成政策合力。发挥政策导向作用，引导多元化资金投入。加大政策支持力度，落实项目资金来源，健全长效规范的应急保障资金投入和拨付机制，确保项目建设保障资金落到实处。重点项目建成后需安排日常运行和维护资金的，按预算管理规定申请办理。要创新资金筹集渠道，引入市场机制，积极引导民间资本参与应急体系建设，探索政府、企业、社会相结合的应急保障资金投入机制。</w:t>
      </w:r>
    </w:p>
    <w:p w14:paraId="2E7D3BC2">
      <w:pPr>
        <w:pStyle w:val="20"/>
        <w:spacing w:after="0"/>
        <w:rPr>
          <w:rFonts w:ascii="方正仿宋_GBK" w:eastAsia="方正仿宋_GBK"/>
        </w:rPr>
      </w:pPr>
    </w:p>
    <w:sectPr>
      <w:headerReference r:id="rId4" w:type="default"/>
      <w:footerReference r:id="rId5" w:type="default"/>
      <w:pgSz w:w="11906" w:h="16838"/>
      <w:pgMar w:top="1985" w:right="1588" w:bottom="2098" w:left="1474" w:header="851" w:footer="992" w:gutter="0"/>
      <w:cols w:space="425" w:num="1"/>
      <w:docGrid w:type="lines" w:linePitch="43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w:panose1 w:val="020B0604020202020204"/>
    <w:charset w:val="00"/>
    <w:family w:val="swiss"/>
    <w:pitch w:val="default"/>
    <w:sig w:usb0="E0002EFF" w:usb1="C000785B" w:usb2="00000009" w:usb3="00000000" w:csb0="400001FF" w:csb1="FFFF0000"/>
  </w:font>
  <w:font w:name="等线">
    <w:panose1 w:val="02010600030101010101"/>
    <w:charset w:val="86"/>
    <w:family w:val="auto"/>
    <w:pitch w:val="default"/>
    <w:sig w:usb0="A00002BF" w:usb1="38CF7CFA" w:usb2="00000016" w:usb3="00000000" w:csb0="0004000F" w:csb1="00000000"/>
  </w:font>
  <w:font w:name="仿宋">
    <w:panose1 w:val="02010609060101010101"/>
    <w:charset w:val="86"/>
    <w:family w:val="modern"/>
    <w:pitch w:val="default"/>
    <w:sig w:usb0="800002BF" w:usb1="38CF7CFA" w:usb2="00000016" w:usb3="00000000" w:csb0="00040001" w:csb1="00000000"/>
  </w:font>
  <w:font w:name="等线 Light">
    <w:panose1 w:val="02010600030101010101"/>
    <w:charset w:val="86"/>
    <w:family w:val="auto"/>
    <w:pitch w:val="default"/>
    <w:sig w:usb0="A00002BF" w:usb1="38CF7CFA" w:usb2="00000016" w:usb3="00000000" w:csb0="0004000F" w:csb1="00000000"/>
  </w:font>
  <w:font w:name="仿宋_GB2312">
    <w:altName w:val="仿宋"/>
    <w:panose1 w:val="00000000000000000000"/>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方正仿宋_GBK">
    <w:altName w:val="Arial Unicode MS"/>
    <w:panose1 w:val="03000509000000000000"/>
    <w:charset w:val="86"/>
    <w:family w:val="script"/>
    <w:pitch w:val="default"/>
    <w:sig w:usb0="00000000" w:usb1="00000000" w:usb2="00000010" w:usb3="00000000" w:csb0="00040000" w:csb1="00000000"/>
  </w:font>
  <w:font w:name="方正小标宋_GBK">
    <w:altName w:val="Arial Unicode MS"/>
    <w:panose1 w:val="03000509000000000000"/>
    <w:charset w:val="86"/>
    <w:family w:val="script"/>
    <w:pitch w:val="default"/>
    <w:sig w:usb0="00000000" w:usb1="00000000" w:usb2="00000010" w:usb3="00000000" w:csb0="00040000" w:csb1="00000000"/>
  </w:font>
  <w:font w:name="方正楷体_GBK">
    <w:altName w:val="Arial Unicode MS"/>
    <w:panose1 w:val="03000509000000000000"/>
    <w:charset w:val="86"/>
    <w:family w:val="script"/>
    <w:pitch w:val="default"/>
    <w:sig w:usb0="00000000" w:usb1="00000000" w:usb2="00000010" w:usb3="00000000" w:csb0="00040000" w:csb1="00000000"/>
  </w:font>
  <w:font w:name="方正黑体_GBK">
    <w:altName w:val="Arial Unicode MS"/>
    <w:panose1 w:val="03000509000000000000"/>
    <w:charset w:val="86"/>
    <w:family w:val="script"/>
    <w:pitch w:val="default"/>
    <w:sig w:usb0="00000000" w:usb1="00000000" w:usb2="00000010" w:usb3="00000000" w:csb0="00040000"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7D09B6">
    <w:pPr>
      <w:pStyle w:val="26"/>
      <w:tabs>
        <w:tab w:val="left" w:pos="4876"/>
        <w:tab w:val="clear" w:pos="4153"/>
        <w:tab w:val="clear" w:pos="8306"/>
      </w:tabs>
    </w:pPr>
    <w: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685362">
    <w:pPr>
      <w:pStyle w:val="26"/>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23C0C36">
                          <w:pPr>
                            <w:pStyle w:val="26"/>
                          </w:pPr>
                          <w:r>
                            <w:rPr>
                              <w:rFonts w:hint="eastAsia"/>
                            </w:rPr>
                            <w:fldChar w:fldCharType="begin"/>
                          </w:r>
                          <w:r>
                            <w:rPr>
                              <w:rFonts w:hint="eastAsia"/>
                            </w:rPr>
                            <w:instrText xml:space="preserve"> PAGE  \* MERGEFORMAT </w:instrText>
                          </w:r>
                          <w:r>
                            <w:rPr>
                              <w:rFonts w:hint="eastAsia"/>
                            </w:rPr>
                            <w:fldChar w:fldCharType="separate"/>
                          </w:r>
                          <w:r>
                            <w:t>5</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423C0C36">
                    <w:pPr>
                      <w:pStyle w:val="26"/>
                    </w:pPr>
                    <w:r>
                      <w:rPr>
                        <w:rFonts w:hint="eastAsia"/>
                      </w:rPr>
                      <w:fldChar w:fldCharType="begin"/>
                    </w:r>
                    <w:r>
                      <w:rPr>
                        <w:rFonts w:hint="eastAsia"/>
                      </w:rPr>
                      <w:instrText xml:space="preserve"> PAGE  \* MERGEFORMAT </w:instrText>
                    </w:r>
                    <w:r>
                      <w:rPr>
                        <w:rFonts w:hint="eastAsia"/>
                      </w:rPr>
                      <w:fldChar w:fldCharType="separate"/>
                    </w:r>
                    <w:r>
                      <w:t>5</w:t>
                    </w:r>
                    <w:r>
                      <w:rPr>
                        <w:rFonts w:hint="eastAsi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7D80B4">
    <w:pPr>
      <w:pStyle w:val="27"/>
      <w:pBdr>
        <w:bottom w:val="single" w:color="auto" w:sz="4" w:space="1"/>
      </w:pBdr>
    </w:pPr>
    <w:r>
      <w:rPr>
        <w:rFonts w:hint="eastAsia"/>
      </w:rPr>
      <w:t>重庆两江新区“十四五”应急管理专项规划（2</w:t>
    </w:r>
    <w:r>
      <w:t>021</w:t>
    </w:r>
    <w:r>
      <w:rPr>
        <w:rFonts w:hint="eastAsia"/>
      </w:rPr>
      <w:t>-</w:t>
    </w:r>
    <w:r>
      <w:t>2025</w:t>
    </w:r>
    <w:r>
      <w:rPr>
        <w:rFonts w:hint="eastAsia"/>
      </w:rP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CB4684F"/>
    <w:multiLevelType w:val="multilevel"/>
    <w:tmpl w:val="1CB4684F"/>
    <w:lvl w:ilvl="0" w:tentative="0">
      <w:start w:val="1"/>
      <w:numFmt w:val="bullet"/>
      <w:pStyle w:val="70"/>
      <w:lvlText w:val=""/>
      <w:lvlJc w:val="left"/>
      <w:pPr>
        <w:tabs>
          <w:tab w:val="left" w:pos="420"/>
        </w:tabs>
        <w:ind w:left="42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
    <w:nsid w:val="3EBB3C91"/>
    <w:multiLevelType w:val="multilevel"/>
    <w:tmpl w:val="3EBB3C91"/>
    <w:lvl w:ilvl="0" w:tentative="0">
      <w:start w:val="1"/>
      <w:numFmt w:val="chineseCountingThousand"/>
      <w:pStyle w:val="92"/>
      <w:suff w:val="space"/>
      <w:lvlText w:val="%1. "/>
      <w:lvlJc w:val="left"/>
      <w:pPr>
        <w:ind w:left="907" w:hanging="907"/>
      </w:pPr>
      <w:rPr>
        <w:rFonts w:hint="eastAsia"/>
      </w:rPr>
    </w:lvl>
    <w:lvl w:ilvl="1" w:tentative="0">
      <w:start w:val="1"/>
      <w:numFmt w:val="decimal"/>
      <w:isLgl/>
      <w:suff w:val="space"/>
      <w:lvlText w:val="%1.%2 "/>
      <w:lvlJc w:val="left"/>
      <w:pPr>
        <w:ind w:left="794" w:hanging="794"/>
      </w:pPr>
      <w:rPr>
        <w:rFonts w:hint="eastAsia"/>
      </w:rPr>
    </w:lvl>
    <w:lvl w:ilvl="2" w:tentative="0">
      <w:start w:val="1"/>
      <w:numFmt w:val="decimal"/>
      <w:isLgl/>
      <w:suff w:val="space"/>
      <w:lvlText w:val="%1.%2.%3 "/>
      <w:lvlJc w:val="left"/>
      <w:pPr>
        <w:ind w:left="1190" w:hanging="907"/>
      </w:pPr>
      <w:rPr>
        <w:rFonts w:hint="eastAsia" w:cs="Times New Roman"/>
        <w:b/>
        <w:bCs w:val="0"/>
        <w:i w:val="0"/>
        <w:iCs w:val="0"/>
        <w:caps w:val="0"/>
        <w:smallCaps w:val="0"/>
        <w:strike w:val="0"/>
        <w:dstrike w:val="0"/>
        <w:vanish w:val="0"/>
        <w:color w:val="000000"/>
        <w:spacing w:val="0"/>
        <w:position w:val="0"/>
        <w:u w:val="none"/>
        <w:vertAlign w:val="baseline"/>
      </w:rPr>
    </w:lvl>
    <w:lvl w:ilvl="3" w:tentative="0">
      <w:start w:val="1"/>
      <w:numFmt w:val="decimal"/>
      <w:pStyle w:val="95"/>
      <w:isLgl/>
      <w:suff w:val="space"/>
      <w:lvlText w:val="%1.%2.%3.%4 "/>
      <w:lvlJc w:val="left"/>
      <w:pPr>
        <w:ind w:left="1729" w:hanging="1021"/>
      </w:pPr>
      <w:rPr>
        <w:rFonts w:hint="eastAsia"/>
      </w:rPr>
    </w:lvl>
    <w:lvl w:ilvl="4" w:tentative="0">
      <w:start w:val="1"/>
      <w:numFmt w:val="decimal"/>
      <w:pStyle w:val="96"/>
      <w:isLgl/>
      <w:suff w:val="space"/>
      <w:lvlText w:val="%1.%2.%3.%4.%5 "/>
      <w:lvlJc w:val="left"/>
      <w:pPr>
        <w:ind w:left="1417" w:hanging="1134"/>
      </w:pPr>
      <w:rPr>
        <w:rFonts w:hint="eastAsia"/>
      </w:rPr>
    </w:lvl>
    <w:lvl w:ilvl="5" w:tentative="0">
      <w:start w:val="1"/>
      <w:numFmt w:val="decimal"/>
      <w:pStyle w:val="97"/>
      <w:isLgl/>
      <w:suff w:val="space"/>
      <w:lvlText w:val="%1.%2.%3.%4.%5.%6 "/>
      <w:lvlJc w:val="left"/>
      <w:pPr>
        <w:ind w:left="2240" w:hanging="1247"/>
      </w:pPr>
      <w:rPr>
        <w:rFonts w:hint="eastAsia"/>
      </w:rPr>
    </w:lvl>
    <w:lvl w:ilvl="6" w:tentative="0">
      <w:start w:val="1"/>
      <w:numFmt w:val="decimal"/>
      <w:lvlRestart w:val="1"/>
      <w:pStyle w:val="98"/>
      <w:isLgl/>
      <w:suff w:val="space"/>
      <w:lvlText w:val="图 %1.%7 "/>
      <w:lvlJc w:val="left"/>
      <w:pPr>
        <w:ind w:left="0" w:firstLine="0"/>
      </w:pPr>
      <w:rPr>
        <w:rFonts w:hint="eastAsia"/>
      </w:rPr>
    </w:lvl>
    <w:lvl w:ilvl="7" w:tentative="0">
      <w:start w:val="1"/>
      <w:numFmt w:val="decimal"/>
      <w:lvlRestart w:val="1"/>
      <w:pStyle w:val="99"/>
      <w:isLgl/>
      <w:suff w:val="space"/>
      <w:lvlText w:val="表 %1.%8 "/>
      <w:lvlJc w:val="left"/>
      <w:pPr>
        <w:ind w:left="0" w:firstLine="0"/>
      </w:pPr>
      <w:rPr>
        <w:rFonts w:hint="eastAsia"/>
      </w:rPr>
    </w:lvl>
    <w:lvl w:ilvl="8" w:tentative="0">
      <w:start w:val="1"/>
      <w:numFmt w:val="none"/>
      <w:suff w:val="nothing"/>
      <w:lvlText w:val=""/>
      <w:lvlJc w:val="left"/>
      <w:pPr>
        <w:ind w:left="0" w:firstLine="0"/>
      </w:pPr>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HorizontalSpacing w:val="160"/>
  <w:drawingGridVerticalSpacing w:val="435"/>
  <w:displayHorizontalDrawingGridEvery w:val="0"/>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B4D29"/>
    <w:rsid w:val="0000139F"/>
    <w:rsid w:val="000018A5"/>
    <w:rsid w:val="00001B7B"/>
    <w:rsid w:val="00002F18"/>
    <w:rsid w:val="0000471D"/>
    <w:rsid w:val="00005115"/>
    <w:rsid w:val="00005518"/>
    <w:rsid w:val="00005F58"/>
    <w:rsid w:val="00006359"/>
    <w:rsid w:val="00006C68"/>
    <w:rsid w:val="0000757B"/>
    <w:rsid w:val="00007642"/>
    <w:rsid w:val="0000765E"/>
    <w:rsid w:val="00007935"/>
    <w:rsid w:val="00010A39"/>
    <w:rsid w:val="00011691"/>
    <w:rsid w:val="00011931"/>
    <w:rsid w:val="00011DF3"/>
    <w:rsid w:val="000125BA"/>
    <w:rsid w:val="00012B63"/>
    <w:rsid w:val="00012F02"/>
    <w:rsid w:val="00012F5C"/>
    <w:rsid w:val="00012FDF"/>
    <w:rsid w:val="0001344B"/>
    <w:rsid w:val="00013587"/>
    <w:rsid w:val="00013B3D"/>
    <w:rsid w:val="00014A55"/>
    <w:rsid w:val="00014CDC"/>
    <w:rsid w:val="00014E52"/>
    <w:rsid w:val="00014F45"/>
    <w:rsid w:val="00015429"/>
    <w:rsid w:val="00015D20"/>
    <w:rsid w:val="00015E45"/>
    <w:rsid w:val="00016BDD"/>
    <w:rsid w:val="00017037"/>
    <w:rsid w:val="0001704B"/>
    <w:rsid w:val="00017055"/>
    <w:rsid w:val="00017768"/>
    <w:rsid w:val="00017F1C"/>
    <w:rsid w:val="00020694"/>
    <w:rsid w:val="00020D7F"/>
    <w:rsid w:val="0002225E"/>
    <w:rsid w:val="000225DA"/>
    <w:rsid w:val="00022728"/>
    <w:rsid w:val="0002295B"/>
    <w:rsid w:val="00022B96"/>
    <w:rsid w:val="000235AD"/>
    <w:rsid w:val="00023723"/>
    <w:rsid w:val="000239A2"/>
    <w:rsid w:val="00023BD7"/>
    <w:rsid w:val="0002440D"/>
    <w:rsid w:val="000248DA"/>
    <w:rsid w:val="0002551B"/>
    <w:rsid w:val="00026388"/>
    <w:rsid w:val="000263EE"/>
    <w:rsid w:val="000271A8"/>
    <w:rsid w:val="00027726"/>
    <w:rsid w:val="000277A8"/>
    <w:rsid w:val="00027B15"/>
    <w:rsid w:val="00027F90"/>
    <w:rsid w:val="00030460"/>
    <w:rsid w:val="00031528"/>
    <w:rsid w:val="00032076"/>
    <w:rsid w:val="00032A51"/>
    <w:rsid w:val="00032C0E"/>
    <w:rsid w:val="000334CD"/>
    <w:rsid w:val="00033988"/>
    <w:rsid w:val="00034C6E"/>
    <w:rsid w:val="0003545B"/>
    <w:rsid w:val="000357CF"/>
    <w:rsid w:val="00035D0D"/>
    <w:rsid w:val="00036A92"/>
    <w:rsid w:val="00036DF2"/>
    <w:rsid w:val="00037568"/>
    <w:rsid w:val="000418A8"/>
    <w:rsid w:val="00041FAB"/>
    <w:rsid w:val="00041FBA"/>
    <w:rsid w:val="0004217B"/>
    <w:rsid w:val="00042379"/>
    <w:rsid w:val="00042B06"/>
    <w:rsid w:val="00042EA1"/>
    <w:rsid w:val="00044090"/>
    <w:rsid w:val="0004458E"/>
    <w:rsid w:val="000445FF"/>
    <w:rsid w:val="00044ABE"/>
    <w:rsid w:val="00044F23"/>
    <w:rsid w:val="00045151"/>
    <w:rsid w:val="00045724"/>
    <w:rsid w:val="0004615A"/>
    <w:rsid w:val="000468B3"/>
    <w:rsid w:val="00046B63"/>
    <w:rsid w:val="00046C39"/>
    <w:rsid w:val="00050057"/>
    <w:rsid w:val="0005053E"/>
    <w:rsid w:val="0005057D"/>
    <w:rsid w:val="00050782"/>
    <w:rsid w:val="00050D5D"/>
    <w:rsid w:val="00050EE1"/>
    <w:rsid w:val="00051044"/>
    <w:rsid w:val="00051590"/>
    <w:rsid w:val="0005193C"/>
    <w:rsid w:val="00051AF9"/>
    <w:rsid w:val="00051AFF"/>
    <w:rsid w:val="0005235B"/>
    <w:rsid w:val="000524EB"/>
    <w:rsid w:val="00052D38"/>
    <w:rsid w:val="00052F21"/>
    <w:rsid w:val="0005392F"/>
    <w:rsid w:val="00053BD5"/>
    <w:rsid w:val="00053DDC"/>
    <w:rsid w:val="00053E61"/>
    <w:rsid w:val="00054221"/>
    <w:rsid w:val="00054273"/>
    <w:rsid w:val="00054453"/>
    <w:rsid w:val="00055404"/>
    <w:rsid w:val="000555B9"/>
    <w:rsid w:val="000555F3"/>
    <w:rsid w:val="00055CDA"/>
    <w:rsid w:val="00055D57"/>
    <w:rsid w:val="00055D80"/>
    <w:rsid w:val="0005654D"/>
    <w:rsid w:val="00056E64"/>
    <w:rsid w:val="0005782E"/>
    <w:rsid w:val="0005795E"/>
    <w:rsid w:val="000603DB"/>
    <w:rsid w:val="00060974"/>
    <w:rsid w:val="00061029"/>
    <w:rsid w:val="00061BE9"/>
    <w:rsid w:val="00061EC3"/>
    <w:rsid w:val="00062469"/>
    <w:rsid w:val="000627F8"/>
    <w:rsid w:val="00062E52"/>
    <w:rsid w:val="00063B8D"/>
    <w:rsid w:val="00063FF6"/>
    <w:rsid w:val="00064E17"/>
    <w:rsid w:val="000651A6"/>
    <w:rsid w:val="00065360"/>
    <w:rsid w:val="00065E3D"/>
    <w:rsid w:val="00066546"/>
    <w:rsid w:val="00066E0E"/>
    <w:rsid w:val="00066EB1"/>
    <w:rsid w:val="000701AE"/>
    <w:rsid w:val="00071639"/>
    <w:rsid w:val="000731F4"/>
    <w:rsid w:val="00073887"/>
    <w:rsid w:val="000744AE"/>
    <w:rsid w:val="000745C9"/>
    <w:rsid w:val="000746D2"/>
    <w:rsid w:val="00074C61"/>
    <w:rsid w:val="00074D71"/>
    <w:rsid w:val="00074D97"/>
    <w:rsid w:val="0007588F"/>
    <w:rsid w:val="00076433"/>
    <w:rsid w:val="0007714A"/>
    <w:rsid w:val="00077811"/>
    <w:rsid w:val="00077D43"/>
    <w:rsid w:val="00077F4C"/>
    <w:rsid w:val="0008055A"/>
    <w:rsid w:val="0008063F"/>
    <w:rsid w:val="00080C44"/>
    <w:rsid w:val="00080D6B"/>
    <w:rsid w:val="0008153D"/>
    <w:rsid w:val="00081D9C"/>
    <w:rsid w:val="00081F13"/>
    <w:rsid w:val="000832F3"/>
    <w:rsid w:val="00083580"/>
    <w:rsid w:val="00083886"/>
    <w:rsid w:val="00083C5A"/>
    <w:rsid w:val="00084515"/>
    <w:rsid w:val="00084CDC"/>
    <w:rsid w:val="00085203"/>
    <w:rsid w:val="00085751"/>
    <w:rsid w:val="00085AC2"/>
    <w:rsid w:val="00086E31"/>
    <w:rsid w:val="00087E42"/>
    <w:rsid w:val="000906B7"/>
    <w:rsid w:val="0009091D"/>
    <w:rsid w:val="0009099B"/>
    <w:rsid w:val="00091366"/>
    <w:rsid w:val="000915F8"/>
    <w:rsid w:val="00091B1B"/>
    <w:rsid w:val="0009258F"/>
    <w:rsid w:val="000925D8"/>
    <w:rsid w:val="00092E6C"/>
    <w:rsid w:val="000930B5"/>
    <w:rsid w:val="000930E5"/>
    <w:rsid w:val="00093218"/>
    <w:rsid w:val="000938B0"/>
    <w:rsid w:val="00093BC6"/>
    <w:rsid w:val="00093CF9"/>
    <w:rsid w:val="00093D1E"/>
    <w:rsid w:val="000947A9"/>
    <w:rsid w:val="00094BA5"/>
    <w:rsid w:val="00094F39"/>
    <w:rsid w:val="00096D26"/>
    <w:rsid w:val="0009754E"/>
    <w:rsid w:val="0009766C"/>
    <w:rsid w:val="000A17FD"/>
    <w:rsid w:val="000A1E57"/>
    <w:rsid w:val="000A22B7"/>
    <w:rsid w:val="000A38DD"/>
    <w:rsid w:val="000A39B1"/>
    <w:rsid w:val="000A4260"/>
    <w:rsid w:val="000A4C68"/>
    <w:rsid w:val="000A58E2"/>
    <w:rsid w:val="000A6291"/>
    <w:rsid w:val="000A6942"/>
    <w:rsid w:val="000A6AB1"/>
    <w:rsid w:val="000A6DAB"/>
    <w:rsid w:val="000A6EA2"/>
    <w:rsid w:val="000A702C"/>
    <w:rsid w:val="000A7B9E"/>
    <w:rsid w:val="000A7E9F"/>
    <w:rsid w:val="000B0D5F"/>
    <w:rsid w:val="000B0D86"/>
    <w:rsid w:val="000B1A95"/>
    <w:rsid w:val="000B1DBB"/>
    <w:rsid w:val="000B2C83"/>
    <w:rsid w:val="000B2E20"/>
    <w:rsid w:val="000B3BC1"/>
    <w:rsid w:val="000B3F8C"/>
    <w:rsid w:val="000B4694"/>
    <w:rsid w:val="000B4ECD"/>
    <w:rsid w:val="000B52CB"/>
    <w:rsid w:val="000B5662"/>
    <w:rsid w:val="000B6C80"/>
    <w:rsid w:val="000B6DBF"/>
    <w:rsid w:val="000B74E0"/>
    <w:rsid w:val="000B798A"/>
    <w:rsid w:val="000C0544"/>
    <w:rsid w:val="000C0B8D"/>
    <w:rsid w:val="000C0F0B"/>
    <w:rsid w:val="000C1527"/>
    <w:rsid w:val="000C23A3"/>
    <w:rsid w:val="000C2C4A"/>
    <w:rsid w:val="000C2DDF"/>
    <w:rsid w:val="000C325A"/>
    <w:rsid w:val="000C38FC"/>
    <w:rsid w:val="000C4619"/>
    <w:rsid w:val="000C490C"/>
    <w:rsid w:val="000C4D7C"/>
    <w:rsid w:val="000C5169"/>
    <w:rsid w:val="000C5D46"/>
    <w:rsid w:val="000C66A0"/>
    <w:rsid w:val="000C6B9A"/>
    <w:rsid w:val="000C6D1C"/>
    <w:rsid w:val="000C6EFB"/>
    <w:rsid w:val="000C7BC4"/>
    <w:rsid w:val="000D053E"/>
    <w:rsid w:val="000D1CBC"/>
    <w:rsid w:val="000D2200"/>
    <w:rsid w:val="000D31D7"/>
    <w:rsid w:val="000D4585"/>
    <w:rsid w:val="000D634B"/>
    <w:rsid w:val="000D636B"/>
    <w:rsid w:val="000D6CF0"/>
    <w:rsid w:val="000D6E38"/>
    <w:rsid w:val="000D73CB"/>
    <w:rsid w:val="000D790A"/>
    <w:rsid w:val="000D7C20"/>
    <w:rsid w:val="000D7FAF"/>
    <w:rsid w:val="000E0432"/>
    <w:rsid w:val="000E0EF7"/>
    <w:rsid w:val="000E280D"/>
    <w:rsid w:val="000E2936"/>
    <w:rsid w:val="000E3467"/>
    <w:rsid w:val="000E3846"/>
    <w:rsid w:val="000E38FA"/>
    <w:rsid w:val="000E4163"/>
    <w:rsid w:val="000E42E9"/>
    <w:rsid w:val="000E4484"/>
    <w:rsid w:val="000E45CB"/>
    <w:rsid w:val="000E4B08"/>
    <w:rsid w:val="000E4BBC"/>
    <w:rsid w:val="000E5341"/>
    <w:rsid w:val="000E5C98"/>
    <w:rsid w:val="000E619F"/>
    <w:rsid w:val="000E7732"/>
    <w:rsid w:val="000E7B22"/>
    <w:rsid w:val="000F03C4"/>
    <w:rsid w:val="000F15F9"/>
    <w:rsid w:val="000F174E"/>
    <w:rsid w:val="000F17BB"/>
    <w:rsid w:val="000F1C12"/>
    <w:rsid w:val="000F1E85"/>
    <w:rsid w:val="000F1EBB"/>
    <w:rsid w:val="000F22D8"/>
    <w:rsid w:val="000F2AB3"/>
    <w:rsid w:val="000F2DEC"/>
    <w:rsid w:val="000F304C"/>
    <w:rsid w:val="000F3992"/>
    <w:rsid w:val="000F3CF1"/>
    <w:rsid w:val="000F46A4"/>
    <w:rsid w:val="000F4C8F"/>
    <w:rsid w:val="000F4E04"/>
    <w:rsid w:val="000F53CC"/>
    <w:rsid w:val="000F613A"/>
    <w:rsid w:val="000F6707"/>
    <w:rsid w:val="000F7047"/>
    <w:rsid w:val="000F717E"/>
    <w:rsid w:val="000F7AEA"/>
    <w:rsid w:val="000F7AF9"/>
    <w:rsid w:val="00100654"/>
    <w:rsid w:val="00100E0A"/>
    <w:rsid w:val="00101321"/>
    <w:rsid w:val="00101AAF"/>
    <w:rsid w:val="00105A05"/>
    <w:rsid w:val="00105B04"/>
    <w:rsid w:val="00105D25"/>
    <w:rsid w:val="00105E18"/>
    <w:rsid w:val="00106414"/>
    <w:rsid w:val="00106AF8"/>
    <w:rsid w:val="00107936"/>
    <w:rsid w:val="001079DD"/>
    <w:rsid w:val="00107D16"/>
    <w:rsid w:val="00110EE0"/>
    <w:rsid w:val="00111397"/>
    <w:rsid w:val="00112710"/>
    <w:rsid w:val="00113483"/>
    <w:rsid w:val="00113F65"/>
    <w:rsid w:val="00113FC6"/>
    <w:rsid w:val="00114E68"/>
    <w:rsid w:val="00115A87"/>
    <w:rsid w:val="00116775"/>
    <w:rsid w:val="00116AD3"/>
    <w:rsid w:val="001178D1"/>
    <w:rsid w:val="00117DF4"/>
    <w:rsid w:val="00120111"/>
    <w:rsid w:val="001221D6"/>
    <w:rsid w:val="00124F04"/>
    <w:rsid w:val="00125101"/>
    <w:rsid w:val="00126907"/>
    <w:rsid w:val="00127039"/>
    <w:rsid w:val="00127162"/>
    <w:rsid w:val="001300C6"/>
    <w:rsid w:val="001302AC"/>
    <w:rsid w:val="001302B4"/>
    <w:rsid w:val="00130881"/>
    <w:rsid w:val="00130917"/>
    <w:rsid w:val="00130C91"/>
    <w:rsid w:val="00130D4A"/>
    <w:rsid w:val="00131B4F"/>
    <w:rsid w:val="00131DC9"/>
    <w:rsid w:val="00132228"/>
    <w:rsid w:val="00132D0C"/>
    <w:rsid w:val="00132EAD"/>
    <w:rsid w:val="00133093"/>
    <w:rsid w:val="00133367"/>
    <w:rsid w:val="001335D3"/>
    <w:rsid w:val="00133D5E"/>
    <w:rsid w:val="001345D5"/>
    <w:rsid w:val="00134A81"/>
    <w:rsid w:val="00135B35"/>
    <w:rsid w:val="001361ED"/>
    <w:rsid w:val="00136873"/>
    <w:rsid w:val="00136B96"/>
    <w:rsid w:val="00137018"/>
    <w:rsid w:val="00137050"/>
    <w:rsid w:val="001372EC"/>
    <w:rsid w:val="001379D7"/>
    <w:rsid w:val="00140185"/>
    <w:rsid w:val="00140895"/>
    <w:rsid w:val="00141288"/>
    <w:rsid w:val="0014131C"/>
    <w:rsid w:val="00141E3B"/>
    <w:rsid w:val="00142118"/>
    <w:rsid w:val="001447E8"/>
    <w:rsid w:val="00145752"/>
    <w:rsid w:val="00145A8C"/>
    <w:rsid w:val="0014625E"/>
    <w:rsid w:val="0014679D"/>
    <w:rsid w:val="00147E52"/>
    <w:rsid w:val="00150069"/>
    <w:rsid w:val="00150143"/>
    <w:rsid w:val="0015040B"/>
    <w:rsid w:val="0015074F"/>
    <w:rsid w:val="00150B61"/>
    <w:rsid w:val="00150E84"/>
    <w:rsid w:val="00150EB8"/>
    <w:rsid w:val="001510A1"/>
    <w:rsid w:val="001519AA"/>
    <w:rsid w:val="00151DF6"/>
    <w:rsid w:val="001525A4"/>
    <w:rsid w:val="00152BA0"/>
    <w:rsid w:val="00153468"/>
    <w:rsid w:val="00153756"/>
    <w:rsid w:val="001545FD"/>
    <w:rsid w:val="001548ED"/>
    <w:rsid w:val="00154FF9"/>
    <w:rsid w:val="00155AA7"/>
    <w:rsid w:val="00155FA3"/>
    <w:rsid w:val="001568BD"/>
    <w:rsid w:val="00156FA4"/>
    <w:rsid w:val="00157259"/>
    <w:rsid w:val="00157FD6"/>
    <w:rsid w:val="00160497"/>
    <w:rsid w:val="00160620"/>
    <w:rsid w:val="00160F44"/>
    <w:rsid w:val="00161BE6"/>
    <w:rsid w:val="00162978"/>
    <w:rsid w:val="00163102"/>
    <w:rsid w:val="0016545D"/>
    <w:rsid w:val="00165724"/>
    <w:rsid w:val="00165EB8"/>
    <w:rsid w:val="001661A1"/>
    <w:rsid w:val="001661DD"/>
    <w:rsid w:val="00166344"/>
    <w:rsid w:val="001664FD"/>
    <w:rsid w:val="0016739B"/>
    <w:rsid w:val="00167610"/>
    <w:rsid w:val="00167C55"/>
    <w:rsid w:val="001710DD"/>
    <w:rsid w:val="00171305"/>
    <w:rsid w:val="00171A48"/>
    <w:rsid w:val="00171FF2"/>
    <w:rsid w:val="001726AA"/>
    <w:rsid w:val="00172715"/>
    <w:rsid w:val="00172933"/>
    <w:rsid w:val="00172BA3"/>
    <w:rsid w:val="0017329A"/>
    <w:rsid w:val="00174CEC"/>
    <w:rsid w:val="00174F26"/>
    <w:rsid w:val="0017509B"/>
    <w:rsid w:val="00175CCE"/>
    <w:rsid w:val="00176110"/>
    <w:rsid w:val="001767B3"/>
    <w:rsid w:val="00177373"/>
    <w:rsid w:val="001805DC"/>
    <w:rsid w:val="00180D7E"/>
    <w:rsid w:val="00181846"/>
    <w:rsid w:val="00181902"/>
    <w:rsid w:val="0018222D"/>
    <w:rsid w:val="00182301"/>
    <w:rsid w:val="00182589"/>
    <w:rsid w:val="00182FC3"/>
    <w:rsid w:val="0018333F"/>
    <w:rsid w:val="001855CC"/>
    <w:rsid w:val="001856D1"/>
    <w:rsid w:val="00185BF8"/>
    <w:rsid w:val="00185D34"/>
    <w:rsid w:val="00185ED7"/>
    <w:rsid w:val="00186F13"/>
    <w:rsid w:val="001903D8"/>
    <w:rsid w:val="0019084C"/>
    <w:rsid w:val="00190951"/>
    <w:rsid w:val="00190BF6"/>
    <w:rsid w:val="0019181B"/>
    <w:rsid w:val="00191CB4"/>
    <w:rsid w:val="00192BFB"/>
    <w:rsid w:val="00192CE6"/>
    <w:rsid w:val="0019331D"/>
    <w:rsid w:val="00193563"/>
    <w:rsid w:val="00193825"/>
    <w:rsid w:val="001939A3"/>
    <w:rsid w:val="00193AA1"/>
    <w:rsid w:val="00193C84"/>
    <w:rsid w:val="001945BD"/>
    <w:rsid w:val="00194AC8"/>
    <w:rsid w:val="00194C97"/>
    <w:rsid w:val="00195F0A"/>
    <w:rsid w:val="00197008"/>
    <w:rsid w:val="00197231"/>
    <w:rsid w:val="001976A8"/>
    <w:rsid w:val="001978FE"/>
    <w:rsid w:val="001A015C"/>
    <w:rsid w:val="001A02DB"/>
    <w:rsid w:val="001A073F"/>
    <w:rsid w:val="001A0930"/>
    <w:rsid w:val="001A0CD8"/>
    <w:rsid w:val="001A11DD"/>
    <w:rsid w:val="001A1BB8"/>
    <w:rsid w:val="001A1FD3"/>
    <w:rsid w:val="001A215F"/>
    <w:rsid w:val="001A25F8"/>
    <w:rsid w:val="001A3475"/>
    <w:rsid w:val="001A37FA"/>
    <w:rsid w:val="001A38FF"/>
    <w:rsid w:val="001A3D1F"/>
    <w:rsid w:val="001A4165"/>
    <w:rsid w:val="001A43A1"/>
    <w:rsid w:val="001A4651"/>
    <w:rsid w:val="001A46C2"/>
    <w:rsid w:val="001A4A72"/>
    <w:rsid w:val="001A5658"/>
    <w:rsid w:val="001A57DC"/>
    <w:rsid w:val="001A6200"/>
    <w:rsid w:val="001B055C"/>
    <w:rsid w:val="001B05E5"/>
    <w:rsid w:val="001B0729"/>
    <w:rsid w:val="001B0826"/>
    <w:rsid w:val="001B20F5"/>
    <w:rsid w:val="001B28A4"/>
    <w:rsid w:val="001B2C0F"/>
    <w:rsid w:val="001B3BF2"/>
    <w:rsid w:val="001B453A"/>
    <w:rsid w:val="001B4A18"/>
    <w:rsid w:val="001B4D29"/>
    <w:rsid w:val="001B4F73"/>
    <w:rsid w:val="001B588D"/>
    <w:rsid w:val="001B659B"/>
    <w:rsid w:val="001B67F6"/>
    <w:rsid w:val="001B774F"/>
    <w:rsid w:val="001B7A7A"/>
    <w:rsid w:val="001C04C4"/>
    <w:rsid w:val="001C0909"/>
    <w:rsid w:val="001C0B24"/>
    <w:rsid w:val="001C11CF"/>
    <w:rsid w:val="001C1F52"/>
    <w:rsid w:val="001C2296"/>
    <w:rsid w:val="001C2A3F"/>
    <w:rsid w:val="001C3208"/>
    <w:rsid w:val="001C3C5B"/>
    <w:rsid w:val="001C3E62"/>
    <w:rsid w:val="001C3F1B"/>
    <w:rsid w:val="001C40D9"/>
    <w:rsid w:val="001C420C"/>
    <w:rsid w:val="001C54C0"/>
    <w:rsid w:val="001C6C24"/>
    <w:rsid w:val="001C796F"/>
    <w:rsid w:val="001D0EFD"/>
    <w:rsid w:val="001D0F04"/>
    <w:rsid w:val="001D1459"/>
    <w:rsid w:val="001D25A2"/>
    <w:rsid w:val="001D2B71"/>
    <w:rsid w:val="001D2C7A"/>
    <w:rsid w:val="001D2FFB"/>
    <w:rsid w:val="001D3A23"/>
    <w:rsid w:val="001D3B52"/>
    <w:rsid w:val="001D44B6"/>
    <w:rsid w:val="001D48BE"/>
    <w:rsid w:val="001D4A1C"/>
    <w:rsid w:val="001D4AE8"/>
    <w:rsid w:val="001D4C57"/>
    <w:rsid w:val="001D58BD"/>
    <w:rsid w:val="001D7567"/>
    <w:rsid w:val="001D79E1"/>
    <w:rsid w:val="001E0DF1"/>
    <w:rsid w:val="001E152A"/>
    <w:rsid w:val="001E315D"/>
    <w:rsid w:val="001E3D11"/>
    <w:rsid w:val="001E495B"/>
    <w:rsid w:val="001E59E2"/>
    <w:rsid w:val="001E5CB0"/>
    <w:rsid w:val="001E6465"/>
    <w:rsid w:val="001F0031"/>
    <w:rsid w:val="001F0D58"/>
    <w:rsid w:val="001F1064"/>
    <w:rsid w:val="001F13C0"/>
    <w:rsid w:val="001F1658"/>
    <w:rsid w:val="001F1CAE"/>
    <w:rsid w:val="001F294A"/>
    <w:rsid w:val="001F2C5B"/>
    <w:rsid w:val="001F2F9B"/>
    <w:rsid w:val="001F33D3"/>
    <w:rsid w:val="001F3F81"/>
    <w:rsid w:val="001F4AC4"/>
    <w:rsid w:val="001F51C6"/>
    <w:rsid w:val="001F7BE1"/>
    <w:rsid w:val="00200730"/>
    <w:rsid w:val="0020215A"/>
    <w:rsid w:val="002021EE"/>
    <w:rsid w:val="00202F69"/>
    <w:rsid w:val="002031B0"/>
    <w:rsid w:val="00204124"/>
    <w:rsid w:val="002044DA"/>
    <w:rsid w:val="002045EE"/>
    <w:rsid w:val="002046E2"/>
    <w:rsid w:val="00204803"/>
    <w:rsid w:val="00204B56"/>
    <w:rsid w:val="00204D2C"/>
    <w:rsid w:val="0020550F"/>
    <w:rsid w:val="0020553F"/>
    <w:rsid w:val="002057D8"/>
    <w:rsid w:val="00205D28"/>
    <w:rsid w:val="00206365"/>
    <w:rsid w:val="00206480"/>
    <w:rsid w:val="002065AD"/>
    <w:rsid w:val="00206880"/>
    <w:rsid w:val="00207679"/>
    <w:rsid w:val="002077E8"/>
    <w:rsid w:val="00207C36"/>
    <w:rsid w:val="00207F54"/>
    <w:rsid w:val="002100CF"/>
    <w:rsid w:val="00210331"/>
    <w:rsid w:val="002115AE"/>
    <w:rsid w:val="00211754"/>
    <w:rsid w:val="00212083"/>
    <w:rsid w:val="0021219E"/>
    <w:rsid w:val="00212621"/>
    <w:rsid w:val="00212761"/>
    <w:rsid w:val="00212A96"/>
    <w:rsid w:val="00212E33"/>
    <w:rsid w:val="00212F27"/>
    <w:rsid w:val="00213A98"/>
    <w:rsid w:val="00213FF7"/>
    <w:rsid w:val="002140C4"/>
    <w:rsid w:val="00215283"/>
    <w:rsid w:val="00215B78"/>
    <w:rsid w:val="00221135"/>
    <w:rsid w:val="0022154C"/>
    <w:rsid w:val="00222021"/>
    <w:rsid w:val="0022359C"/>
    <w:rsid w:val="00224946"/>
    <w:rsid w:val="0022593F"/>
    <w:rsid w:val="00225B12"/>
    <w:rsid w:val="00225BFA"/>
    <w:rsid w:val="00227EC0"/>
    <w:rsid w:val="002300E8"/>
    <w:rsid w:val="00230C30"/>
    <w:rsid w:val="00230DCF"/>
    <w:rsid w:val="00230E2B"/>
    <w:rsid w:val="002311A3"/>
    <w:rsid w:val="0023159D"/>
    <w:rsid w:val="0023190D"/>
    <w:rsid w:val="00231AD7"/>
    <w:rsid w:val="00232A5A"/>
    <w:rsid w:val="00232B6B"/>
    <w:rsid w:val="00233547"/>
    <w:rsid w:val="00233BC3"/>
    <w:rsid w:val="00234C65"/>
    <w:rsid w:val="0023556D"/>
    <w:rsid w:val="002361E7"/>
    <w:rsid w:val="00236EC1"/>
    <w:rsid w:val="00236EDF"/>
    <w:rsid w:val="00237BFF"/>
    <w:rsid w:val="00240D4C"/>
    <w:rsid w:val="00240E59"/>
    <w:rsid w:val="00240F0A"/>
    <w:rsid w:val="00241276"/>
    <w:rsid w:val="00242547"/>
    <w:rsid w:val="002428B7"/>
    <w:rsid w:val="0024367A"/>
    <w:rsid w:val="00243B87"/>
    <w:rsid w:val="00245F99"/>
    <w:rsid w:val="002464A8"/>
    <w:rsid w:val="00246C63"/>
    <w:rsid w:val="00247388"/>
    <w:rsid w:val="00247625"/>
    <w:rsid w:val="00251807"/>
    <w:rsid w:val="00251A5F"/>
    <w:rsid w:val="0025252F"/>
    <w:rsid w:val="0025271F"/>
    <w:rsid w:val="002529E7"/>
    <w:rsid w:val="00252E83"/>
    <w:rsid w:val="00253210"/>
    <w:rsid w:val="0025374D"/>
    <w:rsid w:val="00253774"/>
    <w:rsid w:val="002539D9"/>
    <w:rsid w:val="00253E16"/>
    <w:rsid w:val="002545C2"/>
    <w:rsid w:val="00254964"/>
    <w:rsid w:val="00254991"/>
    <w:rsid w:val="002550C1"/>
    <w:rsid w:val="00255135"/>
    <w:rsid w:val="00255690"/>
    <w:rsid w:val="00255BC3"/>
    <w:rsid w:val="002564F5"/>
    <w:rsid w:val="0025655C"/>
    <w:rsid w:val="00256791"/>
    <w:rsid w:val="00256A8F"/>
    <w:rsid w:val="00257449"/>
    <w:rsid w:val="00257702"/>
    <w:rsid w:val="00261548"/>
    <w:rsid w:val="00261670"/>
    <w:rsid w:val="00262483"/>
    <w:rsid w:val="002626C0"/>
    <w:rsid w:val="00262D70"/>
    <w:rsid w:val="00263E84"/>
    <w:rsid w:val="00263FB6"/>
    <w:rsid w:val="0026459B"/>
    <w:rsid w:val="002649D4"/>
    <w:rsid w:val="00266222"/>
    <w:rsid w:val="0026685C"/>
    <w:rsid w:val="00267300"/>
    <w:rsid w:val="00267CB2"/>
    <w:rsid w:val="002710DC"/>
    <w:rsid w:val="002719A5"/>
    <w:rsid w:val="00271A7A"/>
    <w:rsid w:val="00271D0B"/>
    <w:rsid w:val="00271DE0"/>
    <w:rsid w:val="00272C67"/>
    <w:rsid w:val="0027321B"/>
    <w:rsid w:val="00274A81"/>
    <w:rsid w:val="00274BAF"/>
    <w:rsid w:val="00274C38"/>
    <w:rsid w:val="00275D18"/>
    <w:rsid w:val="00276F8E"/>
    <w:rsid w:val="0027767B"/>
    <w:rsid w:val="00277EEB"/>
    <w:rsid w:val="002801B0"/>
    <w:rsid w:val="0028036F"/>
    <w:rsid w:val="00280B3F"/>
    <w:rsid w:val="00281154"/>
    <w:rsid w:val="00281396"/>
    <w:rsid w:val="00281711"/>
    <w:rsid w:val="002819A4"/>
    <w:rsid w:val="00281D4C"/>
    <w:rsid w:val="00283097"/>
    <w:rsid w:val="002833AB"/>
    <w:rsid w:val="00283CB7"/>
    <w:rsid w:val="002845CC"/>
    <w:rsid w:val="00285343"/>
    <w:rsid w:val="00285A28"/>
    <w:rsid w:val="00286354"/>
    <w:rsid w:val="00286678"/>
    <w:rsid w:val="00286890"/>
    <w:rsid w:val="00287200"/>
    <w:rsid w:val="0028762D"/>
    <w:rsid w:val="002905B5"/>
    <w:rsid w:val="00290DA8"/>
    <w:rsid w:val="00291137"/>
    <w:rsid w:val="00291A3D"/>
    <w:rsid w:val="002922FE"/>
    <w:rsid w:val="002924A8"/>
    <w:rsid w:val="00292718"/>
    <w:rsid w:val="00292A79"/>
    <w:rsid w:val="0029324C"/>
    <w:rsid w:val="00293269"/>
    <w:rsid w:val="0029404A"/>
    <w:rsid w:val="0029444D"/>
    <w:rsid w:val="00295B51"/>
    <w:rsid w:val="00296902"/>
    <w:rsid w:val="00296B99"/>
    <w:rsid w:val="00296BF4"/>
    <w:rsid w:val="00296C50"/>
    <w:rsid w:val="00296F28"/>
    <w:rsid w:val="002A01D4"/>
    <w:rsid w:val="002A0CAD"/>
    <w:rsid w:val="002A1867"/>
    <w:rsid w:val="002A1EA2"/>
    <w:rsid w:val="002A38A1"/>
    <w:rsid w:val="002A3E21"/>
    <w:rsid w:val="002A548A"/>
    <w:rsid w:val="002A647D"/>
    <w:rsid w:val="002A6F11"/>
    <w:rsid w:val="002A7904"/>
    <w:rsid w:val="002B0139"/>
    <w:rsid w:val="002B0B06"/>
    <w:rsid w:val="002B14A6"/>
    <w:rsid w:val="002B15C4"/>
    <w:rsid w:val="002B1D74"/>
    <w:rsid w:val="002B2D5F"/>
    <w:rsid w:val="002B6217"/>
    <w:rsid w:val="002B6250"/>
    <w:rsid w:val="002B64E4"/>
    <w:rsid w:val="002B6650"/>
    <w:rsid w:val="002B6A82"/>
    <w:rsid w:val="002B6C71"/>
    <w:rsid w:val="002B7149"/>
    <w:rsid w:val="002C114F"/>
    <w:rsid w:val="002C13FB"/>
    <w:rsid w:val="002C2A09"/>
    <w:rsid w:val="002C31BF"/>
    <w:rsid w:val="002C370C"/>
    <w:rsid w:val="002C4FD2"/>
    <w:rsid w:val="002C5879"/>
    <w:rsid w:val="002C5EA7"/>
    <w:rsid w:val="002C6BA5"/>
    <w:rsid w:val="002C6EAE"/>
    <w:rsid w:val="002C7535"/>
    <w:rsid w:val="002C7D54"/>
    <w:rsid w:val="002D026C"/>
    <w:rsid w:val="002D0C23"/>
    <w:rsid w:val="002D149D"/>
    <w:rsid w:val="002D180B"/>
    <w:rsid w:val="002D28FA"/>
    <w:rsid w:val="002D2FDB"/>
    <w:rsid w:val="002D3A2D"/>
    <w:rsid w:val="002D3AEA"/>
    <w:rsid w:val="002D42E3"/>
    <w:rsid w:val="002D4489"/>
    <w:rsid w:val="002D4545"/>
    <w:rsid w:val="002D49E0"/>
    <w:rsid w:val="002D4C70"/>
    <w:rsid w:val="002D53E7"/>
    <w:rsid w:val="002D5762"/>
    <w:rsid w:val="002D7DF8"/>
    <w:rsid w:val="002E079C"/>
    <w:rsid w:val="002E0B02"/>
    <w:rsid w:val="002E13AF"/>
    <w:rsid w:val="002E16E1"/>
    <w:rsid w:val="002E19CA"/>
    <w:rsid w:val="002E1DC2"/>
    <w:rsid w:val="002E28B5"/>
    <w:rsid w:val="002E2E9C"/>
    <w:rsid w:val="002E345A"/>
    <w:rsid w:val="002E3A26"/>
    <w:rsid w:val="002E439F"/>
    <w:rsid w:val="002E4F7C"/>
    <w:rsid w:val="002E50AF"/>
    <w:rsid w:val="002E5E92"/>
    <w:rsid w:val="002E77A1"/>
    <w:rsid w:val="002E7BB5"/>
    <w:rsid w:val="002F11A0"/>
    <w:rsid w:val="002F3C38"/>
    <w:rsid w:val="002F3E3B"/>
    <w:rsid w:val="002F3F4C"/>
    <w:rsid w:val="002F47A8"/>
    <w:rsid w:val="002F4BE3"/>
    <w:rsid w:val="002F4FC2"/>
    <w:rsid w:val="002F5C5F"/>
    <w:rsid w:val="002F6396"/>
    <w:rsid w:val="002F6C6C"/>
    <w:rsid w:val="002F6C92"/>
    <w:rsid w:val="002F6FE4"/>
    <w:rsid w:val="002F7C2B"/>
    <w:rsid w:val="0030076F"/>
    <w:rsid w:val="00301EA4"/>
    <w:rsid w:val="00301F5B"/>
    <w:rsid w:val="003025B8"/>
    <w:rsid w:val="00302B45"/>
    <w:rsid w:val="00302D2E"/>
    <w:rsid w:val="00302DD6"/>
    <w:rsid w:val="00303E26"/>
    <w:rsid w:val="00304131"/>
    <w:rsid w:val="003043EE"/>
    <w:rsid w:val="003049AF"/>
    <w:rsid w:val="00304D39"/>
    <w:rsid w:val="00304E90"/>
    <w:rsid w:val="0030519F"/>
    <w:rsid w:val="00306344"/>
    <w:rsid w:val="003064CB"/>
    <w:rsid w:val="0031005E"/>
    <w:rsid w:val="0031013B"/>
    <w:rsid w:val="00310297"/>
    <w:rsid w:val="0031029C"/>
    <w:rsid w:val="00310DFA"/>
    <w:rsid w:val="00310FC0"/>
    <w:rsid w:val="0031173D"/>
    <w:rsid w:val="00311A25"/>
    <w:rsid w:val="00312B2D"/>
    <w:rsid w:val="0031398C"/>
    <w:rsid w:val="00313DD9"/>
    <w:rsid w:val="003146F8"/>
    <w:rsid w:val="00314B3D"/>
    <w:rsid w:val="00315E2C"/>
    <w:rsid w:val="003171C6"/>
    <w:rsid w:val="00320798"/>
    <w:rsid w:val="00320B1B"/>
    <w:rsid w:val="00320F4D"/>
    <w:rsid w:val="00321080"/>
    <w:rsid w:val="003216ED"/>
    <w:rsid w:val="00321C3C"/>
    <w:rsid w:val="00321E65"/>
    <w:rsid w:val="003223E0"/>
    <w:rsid w:val="00322DBB"/>
    <w:rsid w:val="00322E9B"/>
    <w:rsid w:val="00323514"/>
    <w:rsid w:val="00323935"/>
    <w:rsid w:val="003239C6"/>
    <w:rsid w:val="00323D0F"/>
    <w:rsid w:val="00325159"/>
    <w:rsid w:val="00325870"/>
    <w:rsid w:val="00325B9A"/>
    <w:rsid w:val="003272AD"/>
    <w:rsid w:val="0032774B"/>
    <w:rsid w:val="00327A6C"/>
    <w:rsid w:val="00327AE7"/>
    <w:rsid w:val="00327EE8"/>
    <w:rsid w:val="00330286"/>
    <w:rsid w:val="0033031E"/>
    <w:rsid w:val="00330A42"/>
    <w:rsid w:val="00330A6A"/>
    <w:rsid w:val="00331204"/>
    <w:rsid w:val="0033140E"/>
    <w:rsid w:val="00331B53"/>
    <w:rsid w:val="00332260"/>
    <w:rsid w:val="00332B98"/>
    <w:rsid w:val="00332EF0"/>
    <w:rsid w:val="00332F28"/>
    <w:rsid w:val="00332F48"/>
    <w:rsid w:val="003335CC"/>
    <w:rsid w:val="00333620"/>
    <w:rsid w:val="00333A27"/>
    <w:rsid w:val="00333B4F"/>
    <w:rsid w:val="00334AEB"/>
    <w:rsid w:val="00334BA2"/>
    <w:rsid w:val="00334E67"/>
    <w:rsid w:val="0033514A"/>
    <w:rsid w:val="00335366"/>
    <w:rsid w:val="00336F9C"/>
    <w:rsid w:val="003371CB"/>
    <w:rsid w:val="003372DF"/>
    <w:rsid w:val="0033755A"/>
    <w:rsid w:val="00337B7F"/>
    <w:rsid w:val="00340402"/>
    <w:rsid w:val="003406F1"/>
    <w:rsid w:val="003408F6"/>
    <w:rsid w:val="00340E6B"/>
    <w:rsid w:val="0034168C"/>
    <w:rsid w:val="00341B7E"/>
    <w:rsid w:val="0034287C"/>
    <w:rsid w:val="00343509"/>
    <w:rsid w:val="00343DEE"/>
    <w:rsid w:val="00344159"/>
    <w:rsid w:val="00344340"/>
    <w:rsid w:val="00344A89"/>
    <w:rsid w:val="00345511"/>
    <w:rsid w:val="003465E6"/>
    <w:rsid w:val="00346B45"/>
    <w:rsid w:val="00346E01"/>
    <w:rsid w:val="003478AF"/>
    <w:rsid w:val="003502E4"/>
    <w:rsid w:val="00351545"/>
    <w:rsid w:val="00351578"/>
    <w:rsid w:val="00351756"/>
    <w:rsid w:val="00352CBD"/>
    <w:rsid w:val="00353BEC"/>
    <w:rsid w:val="003548DA"/>
    <w:rsid w:val="003555D7"/>
    <w:rsid w:val="00355D52"/>
    <w:rsid w:val="00355DE1"/>
    <w:rsid w:val="00355F7D"/>
    <w:rsid w:val="0035679E"/>
    <w:rsid w:val="00356E20"/>
    <w:rsid w:val="00357020"/>
    <w:rsid w:val="0035748E"/>
    <w:rsid w:val="0035762B"/>
    <w:rsid w:val="003578E6"/>
    <w:rsid w:val="0035790E"/>
    <w:rsid w:val="00357B22"/>
    <w:rsid w:val="00357CF7"/>
    <w:rsid w:val="00357D99"/>
    <w:rsid w:val="00362095"/>
    <w:rsid w:val="00363764"/>
    <w:rsid w:val="00363B34"/>
    <w:rsid w:val="00363B8E"/>
    <w:rsid w:val="003642F4"/>
    <w:rsid w:val="0036449C"/>
    <w:rsid w:val="00365CBD"/>
    <w:rsid w:val="00366637"/>
    <w:rsid w:val="00366AD8"/>
    <w:rsid w:val="00366B35"/>
    <w:rsid w:val="00366D77"/>
    <w:rsid w:val="00367A04"/>
    <w:rsid w:val="00367A84"/>
    <w:rsid w:val="00367E54"/>
    <w:rsid w:val="00367EAE"/>
    <w:rsid w:val="00372485"/>
    <w:rsid w:val="003733FB"/>
    <w:rsid w:val="00374625"/>
    <w:rsid w:val="00374908"/>
    <w:rsid w:val="00374E97"/>
    <w:rsid w:val="0037508C"/>
    <w:rsid w:val="003751C0"/>
    <w:rsid w:val="00375C7A"/>
    <w:rsid w:val="00375F50"/>
    <w:rsid w:val="003762FC"/>
    <w:rsid w:val="00376673"/>
    <w:rsid w:val="00376BB0"/>
    <w:rsid w:val="003779D8"/>
    <w:rsid w:val="00377E69"/>
    <w:rsid w:val="003802F4"/>
    <w:rsid w:val="0038054E"/>
    <w:rsid w:val="00380C7C"/>
    <w:rsid w:val="00380F66"/>
    <w:rsid w:val="00381893"/>
    <w:rsid w:val="00381C60"/>
    <w:rsid w:val="00381C66"/>
    <w:rsid w:val="00382044"/>
    <w:rsid w:val="003833D5"/>
    <w:rsid w:val="0038420B"/>
    <w:rsid w:val="003845B8"/>
    <w:rsid w:val="00385159"/>
    <w:rsid w:val="00385C41"/>
    <w:rsid w:val="00385D90"/>
    <w:rsid w:val="0039012B"/>
    <w:rsid w:val="0039026F"/>
    <w:rsid w:val="003904C9"/>
    <w:rsid w:val="00390675"/>
    <w:rsid w:val="00390F32"/>
    <w:rsid w:val="0039111E"/>
    <w:rsid w:val="003922F0"/>
    <w:rsid w:val="003923A8"/>
    <w:rsid w:val="003928D5"/>
    <w:rsid w:val="00392B51"/>
    <w:rsid w:val="0039332E"/>
    <w:rsid w:val="00393DAF"/>
    <w:rsid w:val="0039487E"/>
    <w:rsid w:val="003951FC"/>
    <w:rsid w:val="003975F6"/>
    <w:rsid w:val="003979B2"/>
    <w:rsid w:val="00397A00"/>
    <w:rsid w:val="00397EA2"/>
    <w:rsid w:val="003A01DB"/>
    <w:rsid w:val="003A08B2"/>
    <w:rsid w:val="003A0D98"/>
    <w:rsid w:val="003A211B"/>
    <w:rsid w:val="003A228D"/>
    <w:rsid w:val="003A2890"/>
    <w:rsid w:val="003A2F2F"/>
    <w:rsid w:val="003A3096"/>
    <w:rsid w:val="003A30E4"/>
    <w:rsid w:val="003A455C"/>
    <w:rsid w:val="003A4884"/>
    <w:rsid w:val="003A4B0D"/>
    <w:rsid w:val="003A50C1"/>
    <w:rsid w:val="003A52BA"/>
    <w:rsid w:val="003A5EEC"/>
    <w:rsid w:val="003A61AC"/>
    <w:rsid w:val="003A6569"/>
    <w:rsid w:val="003B1B04"/>
    <w:rsid w:val="003B2A99"/>
    <w:rsid w:val="003B2B8B"/>
    <w:rsid w:val="003B2F5B"/>
    <w:rsid w:val="003B372E"/>
    <w:rsid w:val="003B412B"/>
    <w:rsid w:val="003B4335"/>
    <w:rsid w:val="003B4DF3"/>
    <w:rsid w:val="003B51CA"/>
    <w:rsid w:val="003B5AA4"/>
    <w:rsid w:val="003B5EEC"/>
    <w:rsid w:val="003B6148"/>
    <w:rsid w:val="003B6F6C"/>
    <w:rsid w:val="003B7D46"/>
    <w:rsid w:val="003C0305"/>
    <w:rsid w:val="003C06EE"/>
    <w:rsid w:val="003C0C32"/>
    <w:rsid w:val="003C0E23"/>
    <w:rsid w:val="003C1E74"/>
    <w:rsid w:val="003C24E4"/>
    <w:rsid w:val="003C26E0"/>
    <w:rsid w:val="003C2764"/>
    <w:rsid w:val="003C2870"/>
    <w:rsid w:val="003C39B8"/>
    <w:rsid w:val="003C40A2"/>
    <w:rsid w:val="003C4853"/>
    <w:rsid w:val="003C5C39"/>
    <w:rsid w:val="003C69B2"/>
    <w:rsid w:val="003C7BE3"/>
    <w:rsid w:val="003C7FEC"/>
    <w:rsid w:val="003D0DFE"/>
    <w:rsid w:val="003D10E7"/>
    <w:rsid w:val="003D18B0"/>
    <w:rsid w:val="003D196D"/>
    <w:rsid w:val="003D24A5"/>
    <w:rsid w:val="003D2A41"/>
    <w:rsid w:val="003D2D80"/>
    <w:rsid w:val="003D3E57"/>
    <w:rsid w:val="003D4077"/>
    <w:rsid w:val="003D428F"/>
    <w:rsid w:val="003D4A2D"/>
    <w:rsid w:val="003D51B6"/>
    <w:rsid w:val="003D563F"/>
    <w:rsid w:val="003D5695"/>
    <w:rsid w:val="003D57FD"/>
    <w:rsid w:val="003D6067"/>
    <w:rsid w:val="003D6426"/>
    <w:rsid w:val="003D662A"/>
    <w:rsid w:val="003D6ABC"/>
    <w:rsid w:val="003D6BC3"/>
    <w:rsid w:val="003D6E4E"/>
    <w:rsid w:val="003D7144"/>
    <w:rsid w:val="003D718D"/>
    <w:rsid w:val="003D72AE"/>
    <w:rsid w:val="003E07EC"/>
    <w:rsid w:val="003E0C8F"/>
    <w:rsid w:val="003E1943"/>
    <w:rsid w:val="003E27C3"/>
    <w:rsid w:val="003E2C54"/>
    <w:rsid w:val="003E3902"/>
    <w:rsid w:val="003E3AAD"/>
    <w:rsid w:val="003E3E9A"/>
    <w:rsid w:val="003E44AC"/>
    <w:rsid w:val="003E5D62"/>
    <w:rsid w:val="003E5E38"/>
    <w:rsid w:val="003E5E5A"/>
    <w:rsid w:val="003E68CE"/>
    <w:rsid w:val="003E6976"/>
    <w:rsid w:val="003E6FAF"/>
    <w:rsid w:val="003E6FC6"/>
    <w:rsid w:val="003E724C"/>
    <w:rsid w:val="003F0503"/>
    <w:rsid w:val="003F056A"/>
    <w:rsid w:val="003F0574"/>
    <w:rsid w:val="003F077D"/>
    <w:rsid w:val="003F19C0"/>
    <w:rsid w:val="003F252D"/>
    <w:rsid w:val="003F3D09"/>
    <w:rsid w:val="003F3FE1"/>
    <w:rsid w:val="003F4688"/>
    <w:rsid w:val="003F6BF4"/>
    <w:rsid w:val="003F6C21"/>
    <w:rsid w:val="003F7207"/>
    <w:rsid w:val="003F76AF"/>
    <w:rsid w:val="00400EE6"/>
    <w:rsid w:val="00401098"/>
    <w:rsid w:val="00401968"/>
    <w:rsid w:val="00401C24"/>
    <w:rsid w:val="00401F64"/>
    <w:rsid w:val="00402383"/>
    <w:rsid w:val="00402BA1"/>
    <w:rsid w:val="004037CE"/>
    <w:rsid w:val="004038ED"/>
    <w:rsid w:val="00403A1F"/>
    <w:rsid w:val="00405001"/>
    <w:rsid w:val="0040516F"/>
    <w:rsid w:val="004054A7"/>
    <w:rsid w:val="00405DD9"/>
    <w:rsid w:val="004061C7"/>
    <w:rsid w:val="00406827"/>
    <w:rsid w:val="004069CB"/>
    <w:rsid w:val="00406D65"/>
    <w:rsid w:val="00406EFC"/>
    <w:rsid w:val="004071CD"/>
    <w:rsid w:val="00407934"/>
    <w:rsid w:val="00407BF7"/>
    <w:rsid w:val="00410010"/>
    <w:rsid w:val="004120C4"/>
    <w:rsid w:val="00414B9C"/>
    <w:rsid w:val="00415286"/>
    <w:rsid w:val="004156B5"/>
    <w:rsid w:val="00415BA0"/>
    <w:rsid w:val="00416953"/>
    <w:rsid w:val="00417C36"/>
    <w:rsid w:val="0042073A"/>
    <w:rsid w:val="004213AD"/>
    <w:rsid w:val="004218C7"/>
    <w:rsid w:val="004220DF"/>
    <w:rsid w:val="00423E85"/>
    <w:rsid w:val="004240D0"/>
    <w:rsid w:val="0042456C"/>
    <w:rsid w:val="004252FE"/>
    <w:rsid w:val="00425D06"/>
    <w:rsid w:val="004264C9"/>
    <w:rsid w:val="00426978"/>
    <w:rsid w:val="00426BFA"/>
    <w:rsid w:val="00427334"/>
    <w:rsid w:val="004317AB"/>
    <w:rsid w:val="0043180F"/>
    <w:rsid w:val="004319F6"/>
    <w:rsid w:val="00431E46"/>
    <w:rsid w:val="00432C85"/>
    <w:rsid w:val="00432FD9"/>
    <w:rsid w:val="004332C7"/>
    <w:rsid w:val="00433A37"/>
    <w:rsid w:val="00433F1B"/>
    <w:rsid w:val="00434616"/>
    <w:rsid w:val="00435D4A"/>
    <w:rsid w:val="0043713B"/>
    <w:rsid w:val="00437180"/>
    <w:rsid w:val="00440E99"/>
    <w:rsid w:val="0044209B"/>
    <w:rsid w:val="00442235"/>
    <w:rsid w:val="004435BD"/>
    <w:rsid w:val="00443AFC"/>
    <w:rsid w:val="00444C96"/>
    <w:rsid w:val="00444CFE"/>
    <w:rsid w:val="00446765"/>
    <w:rsid w:val="00446E40"/>
    <w:rsid w:val="0044727D"/>
    <w:rsid w:val="004501AD"/>
    <w:rsid w:val="00450452"/>
    <w:rsid w:val="004504DC"/>
    <w:rsid w:val="004506BC"/>
    <w:rsid w:val="004506D8"/>
    <w:rsid w:val="00450940"/>
    <w:rsid w:val="00450A61"/>
    <w:rsid w:val="00450F1B"/>
    <w:rsid w:val="0045128A"/>
    <w:rsid w:val="00451945"/>
    <w:rsid w:val="00451BF1"/>
    <w:rsid w:val="0045352C"/>
    <w:rsid w:val="00453674"/>
    <w:rsid w:val="004537C9"/>
    <w:rsid w:val="00453885"/>
    <w:rsid w:val="0045428F"/>
    <w:rsid w:val="004554E8"/>
    <w:rsid w:val="00455E52"/>
    <w:rsid w:val="00455F43"/>
    <w:rsid w:val="00456A56"/>
    <w:rsid w:val="004571DB"/>
    <w:rsid w:val="0045729E"/>
    <w:rsid w:val="00457AB1"/>
    <w:rsid w:val="004607D7"/>
    <w:rsid w:val="00460C75"/>
    <w:rsid w:val="00460FA9"/>
    <w:rsid w:val="004613E3"/>
    <w:rsid w:val="0046152B"/>
    <w:rsid w:val="0046169C"/>
    <w:rsid w:val="00461ACB"/>
    <w:rsid w:val="00461B04"/>
    <w:rsid w:val="00461F41"/>
    <w:rsid w:val="004628E3"/>
    <w:rsid w:val="00462A9A"/>
    <w:rsid w:val="00462F47"/>
    <w:rsid w:val="004632BD"/>
    <w:rsid w:val="00463F94"/>
    <w:rsid w:val="004642C2"/>
    <w:rsid w:val="00464B9F"/>
    <w:rsid w:val="00464C24"/>
    <w:rsid w:val="004655C3"/>
    <w:rsid w:val="00466186"/>
    <w:rsid w:val="004661ED"/>
    <w:rsid w:val="004662D0"/>
    <w:rsid w:val="004672CB"/>
    <w:rsid w:val="00467AD3"/>
    <w:rsid w:val="00467DE5"/>
    <w:rsid w:val="00467E29"/>
    <w:rsid w:val="00470E43"/>
    <w:rsid w:val="0047214B"/>
    <w:rsid w:val="004723BD"/>
    <w:rsid w:val="0047348C"/>
    <w:rsid w:val="00473A37"/>
    <w:rsid w:val="00474317"/>
    <w:rsid w:val="00474473"/>
    <w:rsid w:val="00475128"/>
    <w:rsid w:val="00475394"/>
    <w:rsid w:val="004754F5"/>
    <w:rsid w:val="00475E7A"/>
    <w:rsid w:val="00475EE2"/>
    <w:rsid w:val="00476175"/>
    <w:rsid w:val="0047667E"/>
    <w:rsid w:val="00476A64"/>
    <w:rsid w:val="00477BDC"/>
    <w:rsid w:val="00480150"/>
    <w:rsid w:val="004802F1"/>
    <w:rsid w:val="00480514"/>
    <w:rsid w:val="0048062F"/>
    <w:rsid w:val="00480993"/>
    <w:rsid w:val="00480D8B"/>
    <w:rsid w:val="00480ED4"/>
    <w:rsid w:val="00480F52"/>
    <w:rsid w:val="00480FDB"/>
    <w:rsid w:val="00480FDF"/>
    <w:rsid w:val="004815A1"/>
    <w:rsid w:val="00481BBC"/>
    <w:rsid w:val="0048328F"/>
    <w:rsid w:val="004832E7"/>
    <w:rsid w:val="004837FA"/>
    <w:rsid w:val="00484654"/>
    <w:rsid w:val="00484843"/>
    <w:rsid w:val="0048486E"/>
    <w:rsid w:val="00484D12"/>
    <w:rsid w:val="004851D6"/>
    <w:rsid w:val="00485249"/>
    <w:rsid w:val="004852E0"/>
    <w:rsid w:val="00485A83"/>
    <w:rsid w:val="00485AB6"/>
    <w:rsid w:val="00485B79"/>
    <w:rsid w:val="00485E62"/>
    <w:rsid w:val="0048601D"/>
    <w:rsid w:val="004861A7"/>
    <w:rsid w:val="00486CFC"/>
    <w:rsid w:val="00486DA6"/>
    <w:rsid w:val="00487078"/>
    <w:rsid w:val="004870F0"/>
    <w:rsid w:val="0049068C"/>
    <w:rsid w:val="00490A83"/>
    <w:rsid w:val="00490D7C"/>
    <w:rsid w:val="00490E0B"/>
    <w:rsid w:val="004911BC"/>
    <w:rsid w:val="00491AE9"/>
    <w:rsid w:val="00493449"/>
    <w:rsid w:val="004942CF"/>
    <w:rsid w:val="004943C6"/>
    <w:rsid w:val="004947BF"/>
    <w:rsid w:val="0049503F"/>
    <w:rsid w:val="0049580C"/>
    <w:rsid w:val="00495849"/>
    <w:rsid w:val="00495DEA"/>
    <w:rsid w:val="00495F53"/>
    <w:rsid w:val="004966AB"/>
    <w:rsid w:val="00496A1D"/>
    <w:rsid w:val="00496C98"/>
    <w:rsid w:val="00496D42"/>
    <w:rsid w:val="00496E70"/>
    <w:rsid w:val="00497773"/>
    <w:rsid w:val="00497BE2"/>
    <w:rsid w:val="004A09F9"/>
    <w:rsid w:val="004A0F92"/>
    <w:rsid w:val="004A12A1"/>
    <w:rsid w:val="004A23DC"/>
    <w:rsid w:val="004A2489"/>
    <w:rsid w:val="004A2505"/>
    <w:rsid w:val="004A277C"/>
    <w:rsid w:val="004A293A"/>
    <w:rsid w:val="004A2F31"/>
    <w:rsid w:val="004A2FA6"/>
    <w:rsid w:val="004A3155"/>
    <w:rsid w:val="004A3E74"/>
    <w:rsid w:val="004A4A01"/>
    <w:rsid w:val="004A51AE"/>
    <w:rsid w:val="004A5518"/>
    <w:rsid w:val="004A5F8B"/>
    <w:rsid w:val="004A6FEF"/>
    <w:rsid w:val="004A79CC"/>
    <w:rsid w:val="004B0067"/>
    <w:rsid w:val="004B0487"/>
    <w:rsid w:val="004B06B0"/>
    <w:rsid w:val="004B0BC4"/>
    <w:rsid w:val="004B0DD7"/>
    <w:rsid w:val="004B1D3B"/>
    <w:rsid w:val="004B2887"/>
    <w:rsid w:val="004B28A2"/>
    <w:rsid w:val="004B2B7C"/>
    <w:rsid w:val="004B3061"/>
    <w:rsid w:val="004B32D1"/>
    <w:rsid w:val="004B3781"/>
    <w:rsid w:val="004B498E"/>
    <w:rsid w:val="004B4A4E"/>
    <w:rsid w:val="004B4AE5"/>
    <w:rsid w:val="004B56A2"/>
    <w:rsid w:val="004B5A51"/>
    <w:rsid w:val="004B621A"/>
    <w:rsid w:val="004B6475"/>
    <w:rsid w:val="004B6D28"/>
    <w:rsid w:val="004B6DF3"/>
    <w:rsid w:val="004C0981"/>
    <w:rsid w:val="004C0A97"/>
    <w:rsid w:val="004C0BAD"/>
    <w:rsid w:val="004C0C96"/>
    <w:rsid w:val="004C0EE3"/>
    <w:rsid w:val="004C29C1"/>
    <w:rsid w:val="004C4783"/>
    <w:rsid w:val="004C5064"/>
    <w:rsid w:val="004C5357"/>
    <w:rsid w:val="004C53D5"/>
    <w:rsid w:val="004C593E"/>
    <w:rsid w:val="004C5FD4"/>
    <w:rsid w:val="004C63BA"/>
    <w:rsid w:val="004C6728"/>
    <w:rsid w:val="004C6E48"/>
    <w:rsid w:val="004C742B"/>
    <w:rsid w:val="004C7B8C"/>
    <w:rsid w:val="004D01CC"/>
    <w:rsid w:val="004D1130"/>
    <w:rsid w:val="004D17E9"/>
    <w:rsid w:val="004D217C"/>
    <w:rsid w:val="004D3883"/>
    <w:rsid w:val="004D3EAA"/>
    <w:rsid w:val="004D45FB"/>
    <w:rsid w:val="004D4C2C"/>
    <w:rsid w:val="004D5415"/>
    <w:rsid w:val="004D5449"/>
    <w:rsid w:val="004D6019"/>
    <w:rsid w:val="004E113E"/>
    <w:rsid w:val="004E126F"/>
    <w:rsid w:val="004E1F0C"/>
    <w:rsid w:val="004E2723"/>
    <w:rsid w:val="004E2EC4"/>
    <w:rsid w:val="004E34B6"/>
    <w:rsid w:val="004E3F79"/>
    <w:rsid w:val="004E53BC"/>
    <w:rsid w:val="004E5A5C"/>
    <w:rsid w:val="004F108E"/>
    <w:rsid w:val="004F120C"/>
    <w:rsid w:val="004F2D9F"/>
    <w:rsid w:val="004F2ED5"/>
    <w:rsid w:val="004F308D"/>
    <w:rsid w:val="004F35B0"/>
    <w:rsid w:val="004F3ED0"/>
    <w:rsid w:val="004F46C7"/>
    <w:rsid w:val="004F4793"/>
    <w:rsid w:val="004F4CB1"/>
    <w:rsid w:val="004F54CF"/>
    <w:rsid w:val="004F55DF"/>
    <w:rsid w:val="004F6595"/>
    <w:rsid w:val="004F6639"/>
    <w:rsid w:val="004F6AC8"/>
    <w:rsid w:val="004F7072"/>
    <w:rsid w:val="004F776F"/>
    <w:rsid w:val="004F7B94"/>
    <w:rsid w:val="004F7E36"/>
    <w:rsid w:val="0050047E"/>
    <w:rsid w:val="00500E29"/>
    <w:rsid w:val="005019F0"/>
    <w:rsid w:val="00501A6B"/>
    <w:rsid w:val="00502B60"/>
    <w:rsid w:val="00502CC5"/>
    <w:rsid w:val="005033E1"/>
    <w:rsid w:val="005036CD"/>
    <w:rsid w:val="0050413C"/>
    <w:rsid w:val="0050470C"/>
    <w:rsid w:val="005047B7"/>
    <w:rsid w:val="00505468"/>
    <w:rsid w:val="00505FBE"/>
    <w:rsid w:val="0050649F"/>
    <w:rsid w:val="005065A4"/>
    <w:rsid w:val="00506ECE"/>
    <w:rsid w:val="00507643"/>
    <w:rsid w:val="00510125"/>
    <w:rsid w:val="0051091D"/>
    <w:rsid w:val="00511124"/>
    <w:rsid w:val="00512E90"/>
    <w:rsid w:val="0051380E"/>
    <w:rsid w:val="005157CA"/>
    <w:rsid w:val="00516190"/>
    <w:rsid w:val="0051623F"/>
    <w:rsid w:val="00516B66"/>
    <w:rsid w:val="00516C85"/>
    <w:rsid w:val="00517BC2"/>
    <w:rsid w:val="00520884"/>
    <w:rsid w:val="0052089E"/>
    <w:rsid w:val="00521389"/>
    <w:rsid w:val="00521540"/>
    <w:rsid w:val="00521A38"/>
    <w:rsid w:val="005220FC"/>
    <w:rsid w:val="005223C8"/>
    <w:rsid w:val="00522661"/>
    <w:rsid w:val="00522729"/>
    <w:rsid w:val="00522B46"/>
    <w:rsid w:val="00522E97"/>
    <w:rsid w:val="00523090"/>
    <w:rsid w:val="00523585"/>
    <w:rsid w:val="005238F5"/>
    <w:rsid w:val="005239E5"/>
    <w:rsid w:val="00524021"/>
    <w:rsid w:val="00524442"/>
    <w:rsid w:val="00524647"/>
    <w:rsid w:val="00525206"/>
    <w:rsid w:val="005253A7"/>
    <w:rsid w:val="005256AE"/>
    <w:rsid w:val="00525DD9"/>
    <w:rsid w:val="00525DDC"/>
    <w:rsid w:val="005262EA"/>
    <w:rsid w:val="00526CCF"/>
    <w:rsid w:val="00526F91"/>
    <w:rsid w:val="00527380"/>
    <w:rsid w:val="0052785E"/>
    <w:rsid w:val="00530AD6"/>
    <w:rsid w:val="0053145E"/>
    <w:rsid w:val="00531AA2"/>
    <w:rsid w:val="00531B44"/>
    <w:rsid w:val="00531E25"/>
    <w:rsid w:val="005323E5"/>
    <w:rsid w:val="00532842"/>
    <w:rsid w:val="0053353E"/>
    <w:rsid w:val="0053388E"/>
    <w:rsid w:val="005343D9"/>
    <w:rsid w:val="0053482F"/>
    <w:rsid w:val="00534FDC"/>
    <w:rsid w:val="00535742"/>
    <w:rsid w:val="00536005"/>
    <w:rsid w:val="00536FB7"/>
    <w:rsid w:val="00536FBC"/>
    <w:rsid w:val="0053715A"/>
    <w:rsid w:val="005378A1"/>
    <w:rsid w:val="00540C48"/>
    <w:rsid w:val="0054126C"/>
    <w:rsid w:val="005426EB"/>
    <w:rsid w:val="0054280A"/>
    <w:rsid w:val="00543F51"/>
    <w:rsid w:val="00544109"/>
    <w:rsid w:val="00544504"/>
    <w:rsid w:val="00545019"/>
    <w:rsid w:val="005452F4"/>
    <w:rsid w:val="00545BF6"/>
    <w:rsid w:val="005461F6"/>
    <w:rsid w:val="005472F8"/>
    <w:rsid w:val="00551ADC"/>
    <w:rsid w:val="00551C38"/>
    <w:rsid w:val="005522C6"/>
    <w:rsid w:val="00552FB5"/>
    <w:rsid w:val="005530C5"/>
    <w:rsid w:val="00553111"/>
    <w:rsid w:val="0055387D"/>
    <w:rsid w:val="005539B1"/>
    <w:rsid w:val="00554301"/>
    <w:rsid w:val="00554C8F"/>
    <w:rsid w:val="00555720"/>
    <w:rsid w:val="00555D19"/>
    <w:rsid w:val="0055629F"/>
    <w:rsid w:val="005562A7"/>
    <w:rsid w:val="005569D5"/>
    <w:rsid w:val="00556B86"/>
    <w:rsid w:val="00556BA3"/>
    <w:rsid w:val="00556C55"/>
    <w:rsid w:val="005578B4"/>
    <w:rsid w:val="00557D99"/>
    <w:rsid w:val="00560B50"/>
    <w:rsid w:val="00561371"/>
    <w:rsid w:val="00561CC5"/>
    <w:rsid w:val="00562210"/>
    <w:rsid w:val="0056271B"/>
    <w:rsid w:val="005627A0"/>
    <w:rsid w:val="00562A0B"/>
    <w:rsid w:val="00562ED2"/>
    <w:rsid w:val="00562FCC"/>
    <w:rsid w:val="00563FA0"/>
    <w:rsid w:val="00564EE2"/>
    <w:rsid w:val="00566B14"/>
    <w:rsid w:val="005672CF"/>
    <w:rsid w:val="005679F0"/>
    <w:rsid w:val="00567EC0"/>
    <w:rsid w:val="00570288"/>
    <w:rsid w:val="00570D63"/>
    <w:rsid w:val="0057169E"/>
    <w:rsid w:val="0057215F"/>
    <w:rsid w:val="00572996"/>
    <w:rsid w:val="0057299A"/>
    <w:rsid w:val="00572C71"/>
    <w:rsid w:val="00572DB5"/>
    <w:rsid w:val="00573015"/>
    <w:rsid w:val="005737B2"/>
    <w:rsid w:val="00575427"/>
    <w:rsid w:val="00575452"/>
    <w:rsid w:val="00575CB1"/>
    <w:rsid w:val="00576109"/>
    <w:rsid w:val="00576270"/>
    <w:rsid w:val="00576384"/>
    <w:rsid w:val="005765DC"/>
    <w:rsid w:val="0057664D"/>
    <w:rsid w:val="00577614"/>
    <w:rsid w:val="00577C2C"/>
    <w:rsid w:val="00580971"/>
    <w:rsid w:val="00581241"/>
    <w:rsid w:val="00581566"/>
    <w:rsid w:val="00581960"/>
    <w:rsid w:val="00581A16"/>
    <w:rsid w:val="00581E9B"/>
    <w:rsid w:val="005820B8"/>
    <w:rsid w:val="00583437"/>
    <w:rsid w:val="00583848"/>
    <w:rsid w:val="00584307"/>
    <w:rsid w:val="005845CC"/>
    <w:rsid w:val="00585129"/>
    <w:rsid w:val="00585D0B"/>
    <w:rsid w:val="005863DE"/>
    <w:rsid w:val="0058675D"/>
    <w:rsid w:val="00587266"/>
    <w:rsid w:val="00587985"/>
    <w:rsid w:val="00587A3E"/>
    <w:rsid w:val="00587C43"/>
    <w:rsid w:val="005906CC"/>
    <w:rsid w:val="005918E5"/>
    <w:rsid w:val="00591A85"/>
    <w:rsid w:val="00591DAC"/>
    <w:rsid w:val="005929D1"/>
    <w:rsid w:val="00592C5C"/>
    <w:rsid w:val="00592E6A"/>
    <w:rsid w:val="0059311A"/>
    <w:rsid w:val="0059327E"/>
    <w:rsid w:val="00593DB7"/>
    <w:rsid w:val="005953B6"/>
    <w:rsid w:val="0059541B"/>
    <w:rsid w:val="005955A4"/>
    <w:rsid w:val="005960A1"/>
    <w:rsid w:val="005961BB"/>
    <w:rsid w:val="005962BA"/>
    <w:rsid w:val="005965EA"/>
    <w:rsid w:val="00596AB1"/>
    <w:rsid w:val="00597FF2"/>
    <w:rsid w:val="005A1223"/>
    <w:rsid w:val="005A148B"/>
    <w:rsid w:val="005A1636"/>
    <w:rsid w:val="005A270B"/>
    <w:rsid w:val="005A2738"/>
    <w:rsid w:val="005A28D1"/>
    <w:rsid w:val="005A31D1"/>
    <w:rsid w:val="005A3303"/>
    <w:rsid w:val="005A3622"/>
    <w:rsid w:val="005A3A94"/>
    <w:rsid w:val="005A3B34"/>
    <w:rsid w:val="005A4ED3"/>
    <w:rsid w:val="005A5492"/>
    <w:rsid w:val="005A60FD"/>
    <w:rsid w:val="005A642E"/>
    <w:rsid w:val="005A68A7"/>
    <w:rsid w:val="005A7CC6"/>
    <w:rsid w:val="005B01C6"/>
    <w:rsid w:val="005B0242"/>
    <w:rsid w:val="005B072B"/>
    <w:rsid w:val="005B0850"/>
    <w:rsid w:val="005B1C4F"/>
    <w:rsid w:val="005B2C1B"/>
    <w:rsid w:val="005B309E"/>
    <w:rsid w:val="005B3D96"/>
    <w:rsid w:val="005B4B39"/>
    <w:rsid w:val="005B57A1"/>
    <w:rsid w:val="005B57EB"/>
    <w:rsid w:val="005B624A"/>
    <w:rsid w:val="005B63F0"/>
    <w:rsid w:val="005B682E"/>
    <w:rsid w:val="005B684D"/>
    <w:rsid w:val="005B7457"/>
    <w:rsid w:val="005C02FC"/>
    <w:rsid w:val="005C0989"/>
    <w:rsid w:val="005C0D71"/>
    <w:rsid w:val="005C0E91"/>
    <w:rsid w:val="005C1531"/>
    <w:rsid w:val="005C2243"/>
    <w:rsid w:val="005C2B9A"/>
    <w:rsid w:val="005C2DB3"/>
    <w:rsid w:val="005C3404"/>
    <w:rsid w:val="005C34C2"/>
    <w:rsid w:val="005C3C96"/>
    <w:rsid w:val="005C3C98"/>
    <w:rsid w:val="005C4110"/>
    <w:rsid w:val="005C41AA"/>
    <w:rsid w:val="005C4328"/>
    <w:rsid w:val="005C4BDA"/>
    <w:rsid w:val="005C5098"/>
    <w:rsid w:val="005C5261"/>
    <w:rsid w:val="005C6024"/>
    <w:rsid w:val="005C6149"/>
    <w:rsid w:val="005C6272"/>
    <w:rsid w:val="005C6317"/>
    <w:rsid w:val="005C6BD9"/>
    <w:rsid w:val="005C6F19"/>
    <w:rsid w:val="005C77F0"/>
    <w:rsid w:val="005C7BB8"/>
    <w:rsid w:val="005D1577"/>
    <w:rsid w:val="005D19FF"/>
    <w:rsid w:val="005D2324"/>
    <w:rsid w:val="005D254B"/>
    <w:rsid w:val="005D27D6"/>
    <w:rsid w:val="005D30D9"/>
    <w:rsid w:val="005D33EB"/>
    <w:rsid w:val="005D35F0"/>
    <w:rsid w:val="005D366C"/>
    <w:rsid w:val="005D3911"/>
    <w:rsid w:val="005D4116"/>
    <w:rsid w:val="005D45B3"/>
    <w:rsid w:val="005D46D9"/>
    <w:rsid w:val="005D4B11"/>
    <w:rsid w:val="005D4B84"/>
    <w:rsid w:val="005D5341"/>
    <w:rsid w:val="005D5A0B"/>
    <w:rsid w:val="005D738C"/>
    <w:rsid w:val="005D7CC7"/>
    <w:rsid w:val="005E0157"/>
    <w:rsid w:val="005E01DF"/>
    <w:rsid w:val="005E170F"/>
    <w:rsid w:val="005E1E46"/>
    <w:rsid w:val="005E21FE"/>
    <w:rsid w:val="005E2404"/>
    <w:rsid w:val="005E281F"/>
    <w:rsid w:val="005E2D70"/>
    <w:rsid w:val="005E34E1"/>
    <w:rsid w:val="005E3C87"/>
    <w:rsid w:val="005E46CC"/>
    <w:rsid w:val="005E4CE7"/>
    <w:rsid w:val="005E506C"/>
    <w:rsid w:val="005E51AC"/>
    <w:rsid w:val="005E52BA"/>
    <w:rsid w:val="005E64DE"/>
    <w:rsid w:val="005E7264"/>
    <w:rsid w:val="005E7B5D"/>
    <w:rsid w:val="005F0628"/>
    <w:rsid w:val="005F0946"/>
    <w:rsid w:val="005F12F9"/>
    <w:rsid w:val="005F13BC"/>
    <w:rsid w:val="005F1580"/>
    <w:rsid w:val="005F1D49"/>
    <w:rsid w:val="005F1D5C"/>
    <w:rsid w:val="005F20B3"/>
    <w:rsid w:val="005F2503"/>
    <w:rsid w:val="005F2D99"/>
    <w:rsid w:val="005F30FE"/>
    <w:rsid w:val="005F3C81"/>
    <w:rsid w:val="005F4276"/>
    <w:rsid w:val="005F4391"/>
    <w:rsid w:val="005F43A9"/>
    <w:rsid w:val="005F4948"/>
    <w:rsid w:val="005F49CB"/>
    <w:rsid w:val="005F5FB6"/>
    <w:rsid w:val="005F658A"/>
    <w:rsid w:val="005F67A2"/>
    <w:rsid w:val="005F6FC2"/>
    <w:rsid w:val="005F7E46"/>
    <w:rsid w:val="0060069B"/>
    <w:rsid w:val="00601561"/>
    <w:rsid w:val="00601A1D"/>
    <w:rsid w:val="00601E69"/>
    <w:rsid w:val="006028A4"/>
    <w:rsid w:val="00602B19"/>
    <w:rsid w:val="00603A47"/>
    <w:rsid w:val="006043CB"/>
    <w:rsid w:val="00604469"/>
    <w:rsid w:val="00605CA1"/>
    <w:rsid w:val="00605FDD"/>
    <w:rsid w:val="00606CE2"/>
    <w:rsid w:val="00607AFC"/>
    <w:rsid w:val="00607D18"/>
    <w:rsid w:val="006110CF"/>
    <w:rsid w:val="006112B5"/>
    <w:rsid w:val="006115D9"/>
    <w:rsid w:val="00611F11"/>
    <w:rsid w:val="00612245"/>
    <w:rsid w:val="006122AC"/>
    <w:rsid w:val="006129A4"/>
    <w:rsid w:val="00612BFB"/>
    <w:rsid w:val="00613C4A"/>
    <w:rsid w:val="00613EAE"/>
    <w:rsid w:val="00614A02"/>
    <w:rsid w:val="00614F68"/>
    <w:rsid w:val="00615EFE"/>
    <w:rsid w:val="0061645B"/>
    <w:rsid w:val="00616AEC"/>
    <w:rsid w:val="006170E4"/>
    <w:rsid w:val="00620421"/>
    <w:rsid w:val="006208A0"/>
    <w:rsid w:val="00620BE5"/>
    <w:rsid w:val="00620E29"/>
    <w:rsid w:val="0062148A"/>
    <w:rsid w:val="006218C4"/>
    <w:rsid w:val="006221B6"/>
    <w:rsid w:val="00622D51"/>
    <w:rsid w:val="00622DD4"/>
    <w:rsid w:val="00622EC5"/>
    <w:rsid w:val="00623EA0"/>
    <w:rsid w:val="0062523E"/>
    <w:rsid w:val="0062531C"/>
    <w:rsid w:val="00625F2C"/>
    <w:rsid w:val="00626862"/>
    <w:rsid w:val="0062747F"/>
    <w:rsid w:val="006276D7"/>
    <w:rsid w:val="00630E3D"/>
    <w:rsid w:val="00631648"/>
    <w:rsid w:val="006318A2"/>
    <w:rsid w:val="00631959"/>
    <w:rsid w:val="006329C3"/>
    <w:rsid w:val="00632D02"/>
    <w:rsid w:val="00633E85"/>
    <w:rsid w:val="00633F99"/>
    <w:rsid w:val="00634070"/>
    <w:rsid w:val="0063450E"/>
    <w:rsid w:val="0063481E"/>
    <w:rsid w:val="006358EA"/>
    <w:rsid w:val="0063617B"/>
    <w:rsid w:val="00636DE4"/>
    <w:rsid w:val="00636F82"/>
    <w:rsid w:val="00637939"/>
    <w:rsid w:val="00637CC1"/>
    <w:rsid w:val="006404F4"/>
    <w:rsid w:val="00640AC2"/>
    <w:rsid w:val="006416E6"/>
    <w:rsid w:val="006420CA"/>
    <w:rsid w:val="00642628"/>
    <w:rsid w:val="006438B3"/>
    <w:rsid w:val="00643B66"/>
    <w:rsid w:val="00643E6C"/>
    <w:rsid w:val="0064475D"/>
    <w:rsid w:val="006448FC"/>
    <w:rsid w:val="00645B71"/>
    <w:rsid w:val="00645F12"/>
    <w:rsid w:val="006466CA"/>
    <w:rsid w:val="006466DA"/>
    <w:rsid w:val="00646AE0"/>
    <w:rsid w:val="00646DA7"/>
    <w:rsid w:val="0064717B"/>
    <w:rsid w:val="00647898"/>
    <w:rsid w:val="00647902"/>
    <w:rsid w:val="006500BF"/>
    <w:rsid w:val="00650507"/>
    <w:rsid w:val="00650E82"/>
    <w:rsid w:val="00651876"/>
    <w:rsid w:val="00652036"/>
    <w:rsid w:val="006520A9"/>
    <w:rsid w:val="00652B67"/>
    <w:rsid w:val="00652E22"/>
    <w:rsid w:val="00653185"/>
    <w:rsid w:val="00653272"/>
    <w:rsid w:val="00653472"/>
    <w:rsid w:val="00654068"/>
    <w:rsid w:val="00655567"/>
    <w:rsid w:val="006557CA"/>
    <w:rsid w:val="00656245"/>
    <w:rsid w:val="006564F8"/>
    <w:rsid w:val="0065679D"/>
    <w:rsid w:val="00656C6A"/>
    <w:rsid w:val="00656CE5"/>
    <w:rsid w:val="006574F9"/>
    <w:rsid w:val="006578B6"/>
    <w:rsid w:val="0066000D"/>
    <w:rsid w:val="0066034A"/>
    <w:rsid w:val="006607C2"/>
    <w:rsid w:val="00660F93"/>
    <w:rsid w:val="0066185C"/>
    <w:rsid w:val="006618D9"/>
    <w:rsid w:val="00662081"/>
    <w:rsid w:val="006623A9"/>
    <w:rsid w:val="006633A6"/>
    <w:rsid w:val="00664CB3"/>
    <w:rsid w:val="00665AA9"/>
    <w:rsid w:val="00665AE7"/>
    <w:rsid w:val="00665B96"/>
    <w:rsid w:val="0066698D"/>
    <w:rsid w:val="006670F3"/>
    <w:rsid w:val="00667985"/>
    <w:rsid w:val="00670251"/>
    <w:rsid w:val="006702B0"/>
    <w:rsid w:val="00670AA0"/>
    <w:rsid w:val="00670DEC"/>
    <w:rsid w:val="00671352"/>
    <w:rsid w:val="00671427"/>
    <w:rsid w:val="00673C2E"/>
    <w:rsid w:val="00674234"/>
    <w:rsid w:val="00675083"/>
    <w:rsid w:val="00675349"/>
    <w:rsid w:val="006753AA"/>
    <w:rsid w:val="00675E2B"/>
    <w:rsid w:val="00676847"/>
    <w:rsid w:val="00676911"/>
    <w:rsid w:val="00676973"/>
    <w:rsid w:val="00676F0F"/>
    <w:rsid w:val="00676F1D"/>
    <w:rsid w:val="00677296"/>
    <w:rsid w:val="00677470"/>
    <w:rsid w:val="0067779B"/>
    <w:rsid w:val="00677A38"/>
    <w:rsid w:val="00677A8C"/>
    <w:rsid w:val="006800CB"/>
    <w:rsid w:val="006806D5"/>
    <w:rsid w:val="00681249"/>
    <w:rsid w:val="006813CD"/>
    <w:rsid w:val="0068176D"/>
    <w:rsid w:val="0068177E"/>
    <w:rsid w:val="006823F3"/>
    <w:rsid w:val="00682407"/>
    <w:rsid w:val="00683033"/>
    <w:rsid w:val="0068398F"/>
    <w:rsid w:val="00683AB6"/>
    <w:rsid w:val="00683B3A"/>
    <w:rsid w:val="0068482B"/>
    <w:rsid w:val="00684BA0"/>
    <w:rsid w:val="00684DD0"/>
    <w:rsid w:val="00685E31"/>
    <w:rsid w:val="00686565"/>
    <w:rsid w:val="00686A8C"/>
    <w:rsid w:val="00686E18"/>
    <w:rsid w:val="006874B8"/>
    <w:rsid w:val="00687C2C"/>
    <w:rsid w:val="006909D5"/>
    <w:rsid w:val="0069138A"/>
    <w:rsid w:val="006920DE"/>
    <w:rsid w:val="00692C82"/>
    <w:rsid w:val="00693575"/>
    <w:rsid w:val="00693679"/>
    <w:rsid w:val="00694049"/>
    <w:rsid w:val="006941CB"/>
    <w:rsid w:val="0069425C"/>
    <w:rsid w:val="0069504E"/>
    <w:rsid w:val="0069564C"/>
    <w:rsid w:val="00695BE5"/>
    <w:rsid w:val="00696332"/>
    <w:rsid w:val="006970DF"/>
    <w:rsid w:val="00697915"/>
    <w:rsid w:val="006A0454"/>
    <w:rsid w:val="006A05E5"/>
    <w:rsid w:val="006A13BC"/>
    <w:rsid w:val="006A1F19"/>
    <w:rsid w:val="006A290D"/>
    <w:rsid w:val="006A2D9C"/>
    <w:rsid w:val="006A357D"/>
    <w:rsid w:val="006A42A7"/>
    <w:rsid w:val="006A43BF"/>
    <w:rsid w:val="006A4405"/>
    <w:rsid w:val="006A47E6"/>
    <w:rsid w:val="006A4BA6"/>
    <w:rsid w:val="006A5432"/>
    <w:rsid w:val="006A5C38"/>
    <w:rsid w:val="006A5E2B"/>
    <w:rsid w:val="006A6048"/>
    <w:rsid w:val="006A61CB"/>
    <w:rsid w:val="006A6986"/>
    <w:rsid w:val="006A6C60"/>
    <w:rsid w:val="006A7508"/>
    <w:rsid w:val="006A7CDB"/>
    <w:rsid w:val="006A7D92"/>
    <w:rsid w:val="006B0835"/>
    <w:rsid w:val="006B0C98"/>
    <w:rsid w:val="006B0E30"/>
    <w:rsid w:val="006B12AE"/>
    <w:rsid w:val="006B163C"/>
    <w:rsid w:val="006B19E3"/>
    <w:rsid w:val="006B1A03"/>
    <w:rsid w:val="006B1CD7"/>
    <w:rsid w:val="006B1E5C"/>
    <w:rsid w:val="006B1F8D"/>
    <w:rsid w:val="006B286B"/>
    <w:rsid w:val="006B2904"/>
    <w:rsid w:val="006B2D55"/>
    <w:rsid w:val="006B387B"/>
    <w:rsid w:val="006B5156"/>
    <w:rsid w:val="006B5499"/>
    <w:rsid w:val="006B5984"/>
    <w:rsid w:val="006B5C05"/>
    <w:rsid w:val="006B6826"/>
    <w:rsid w:val="006B6C4B"/>
    <w:rsid w:val="006B6D77"/>
    <w:rsid w:val="006B72B2"/>
    <w:rsid w:val="006B7818"/>
    <w:rsid w:val="006C02AD"/>
    <w:rsid w:val="006C0FAC"/>
    <w:rsid w:val="006C109C"/>
    <w:rsid w:val="006C1334"/>
    <w:rsid w:val="006C1FBE"/>
    <w:rsid w:val="006C27CE"/>
    <w:rsid w:val="006C28E5"/>
    <w:rsid w:val="006C32F0"/>
    <w:rsid w:val="006C438E"/>
    <w:rsid w:val="006C4733"/>
    <w:rsid w:val="006C568E"/>
    <w:rsid w:val="006C5989"/>
    <w:rsid w:val="006C65C1"/>
    <w:rsid w:val="006C697E"/>
    <w:rsid w:val="006C6E99"/>
    <w:rsid w:val="006C71B9"/>
    <w:rsid w:val="006C7A6E"/>
    <w:rsid w:val="006C7AC8"/>
    <w:rsid w:val="006D01E5"/>
    <w:rsid w:val="006D055E"/>
    <w:rsid w:val="006D09A1"/>
    <w:rsid w:val="006D1029"/>
    <w:rsid w:val="006D131E"/>
    <w:rsid w:val="006D14C7"/>
    <w:rsid w:val="006D1C70"/>
    <w:rsid w:val="006D21EF"/>
    <w:rsid w:val="006D2C89"/>
    <w:rsid w:val="006D308A"/>
    <w:rsid w:val="006D37A7"/>
    <w:rsid w:val="006D44F8"/>
    <w:rsid w:val="006D5635"/>
    <w:rsid w:val="006D5988"/>
    <w:rsid w:val="006D5AD3"/>
    <w:rsid w:val="006D5DD6"/>
    <w:rsid w:val="006D5FB7"/>
    <w:rsid w:val="006D72DB"/>
    <w:rsid w:val="006D780D"/>
    <w:rsid w:val="006D7830"/>
    <w:rsid w:val="006D7FEC"/>
    <w:rsid w:val="006E122C"/>
    <w:rsid w:val="006E1865"/>
    <w:rsid w:val="006E1ECB"/>
    <w:rsid w:val="006E1F72"/>
    <w:rsid w:val="006E21FC"/>
    <w:rsid w:val="006E306C"/>
    <w:rsid w:val="006E3132"/>
    <w:rsid w:val="006E3871"/>
    <w:rsid w:val="006E38DD"/>
    <w:rsid w:val="006E3B4B"/>
    <w:rsid w:val="006E3C09"/>
    <w:rsid w:val="006E3DE0"/>
    <w:rsid w:val="006E4609"/>
    <w:rsid w:val="006E489D"/>
    <w:rsid w:val="006E4D74"/>
    <w:rsid w:val="006E4FE6"/>
    <w:rsid w:val="006E532C"/>
    <w:rsid w:val="006E5F25"/>
    <w:rsid w:val="006E6332"/>
    <w:rsid w:val="006E693C"/>
    <w:rsid w:val="006E703C"/>
    <w:rsid w:val="006E79BB"/>
    <w:rsid w:val="006E7B21"/>
    <w:rsid w:val="006E7F1F"/>
    <w:rsid w:val="006F0829"/>
    <w:rsid w:val="006F0C1E"/>
    <w:rsid w:val="006F1272"/>
    <w:rsid w:val="006F1331"/>
    <w:rsid w:val="006F176A"/>
    <w:rsid w:val="006F17AF"/>
    <w:rsid w:val="006F19E3"/>
    <w:rsid w:val="006F1AA6"/>
    <w:rsid w:val="006F20AF"/>
    <w:rsid w:val="006F25A2"/>
    <w:rsid w:val="006F2A8A"/>
    <w:rsid w:val="006F4F10"/>
    <w:rsid w:val="006F50B0"/>
    <w:rsid w:val="006F53B2"/>
    <w:rsid w:val="006F5AE6"/>
    <w:rsid w:val="006F648F"/>
    <w:rsid w:val="006F6764"/>
    <w:rsid w:val="006F7272"/>
    <w:rsid w:val="006F7DE3"/>
    <w:rsid w:val="00701117"/>
    <w:rsid w:val="0070197C"/>
    <w:rsid w:val="00701B4A"/>
    <w:rsid w:val="00702763"/>
    <w:rsid w:val="00703145"/>
    <w:rsid w:val="0070421A"/>
    <w:rsid w:val="007042C8"/>
    <w:rsid w:val="00704605"/>
    <w:rsid w:val="00704F7D"/>
    <w:rsid w:val="00705459"/>
    <w:rsid w:val="00705DFA"/>
    <w:rsid w:val="00705F40"/>
    <w:rsid w:val="00706933"/>
    <w:rsid w:val="0070713B"/>
    <w:rsid w:val="007072EC"/>
    <w:rsid w:val="007100D1"/>
    <w:rsid w:val="0071095A"/>
    <w:rsid w:val="007111BC"/>
    <w:rsid w:val="00711932"/>
    <w:rsid w:val="00712A7F"/>
    <w:rsid w:val="007132D1"/>
    <w:rsid w:val="00713379"/>
    <w:rsid w:val="007136DD"/>
    <w:rsid w:val="0071373A"/>
    <w:rsid w:val="00713F22"/>
    <w:rsid w:val="0071403D"/>
    <w:rsid w:val="007141E3"/>
    <w:rsid w:val="00714F11"/>
    <w:rsid w:val="0071577A"/>
    <w:rsid w:val="00715A0B"/>
    <w:rsid w:val="00715B32"/>
    <w:rsid w:val="00715F60"/>
    <w:rsid w:val="007160B9"/>
    <w:rsid w:val="00717283"/>
    <w:rsid w:val="007177F9"/>
    <w:rsid w:val="0072072D"/>
    <w:rsid w:val="00720CEB"/>
    <w:rsid w:val="00721339"/>
    <w:rsid w:val="0072160A"/>
    <w:rsid w:val="007216EF"/>
    <w:rsid w:val="00721826"/>
    <w:rsid w:val="0072192E"/>
    <w:rsid w:val="00721C77"/>
    <w:rsid w:val="00721D6B"/>
    <w:rsid w:val="0072281A"/>
    <w:rsid w:val="00722C38"/>
    <w:rsid w:val="00722CEF"/>
    <w:rsid w:val="007236BF"/>
    <w:rsid w:val="007237B9"/>
    <w:rsid w:val="007238D4"/>
    <w:rsid w:val="00724327"/>
    <w:rsid w:val="00724BF8"/>
    <w:rsid w:val="00724D87"/>
    <w:rsid w:val="007259B7"/>
    <w:rsid w:val="00725A7E"/>
    <w:rsid w:val="007262E5"/>
    <w:rsid w:val="00726705"/>
    <w:rsid w:val="0072785A"/>
    <w:rsid w:val="00727D89"/>
    <w:rsid w:val="00727EE1"/>
    <w:rsid w:val="00727F12"/>
    <w:rsid w:val="00731684"/>
    <w:rsid w:val="007317FD"/>
    <w:rsid w:val="00731D9E"/>
    <w:rsid w:val="00731F64"/>
    <w:rsid w:val="007322BF"/>
    <w:rsid w:val="0073280A"/>
    <w:rsid w:val="00732CB4"/>
    <w:rsid w:val="00732D8C"/>
    <w:rsid w:val="007341BC"/>
    <w:rsid w:val="007341E5"/>
    <w:rsid w:val="00734604"/>
    <w:rsid w:val="00734BFF"/>
    <w:rsid w:val="00735693"/>
    <w:rsid w:val="0073572A"/>
    <w:rsid w:val="007368E0"/>
    <w:rsid w:val="00736904"/>
    <w:rsid w:val="007371FD"/>
    <w:rsid w:val="0073770F"/>
    <w:rsid w:val="007402F4"/>
    <w:rsid w:val="00740BC5"/>
    <w:rsid w:val="00740D33"/>
    <w:rsid w:val="00742AFB"/>
    <w:rsid w:val="00743525"/>
    <w:rsid w:val="00743929"/>
    <w:rsid w:val="00743AEC"/>
    <w:rsid w:val="00743B76"/>
    <w:rsid w:val="007449F7"/>
    <w:rsid w:val="00744AB0"/>
    <w:rsid w:val="007461A3"/>
    <w:rsid w:val="007467EF"/>
    <w:rsid w:val="00746C1F"/>
    <w:rsid w:val="00747CCF"/>
    <w:rsid w:val="00750071"/>
    <w:rsid w:val="00750595"/>
    <w:rsid w:val="00750855"/>
    <w:rsid w:val="0075104A"/>
    <w:rsid w:val="0075175E"/>
    <w:rsid w:val="00752120"/>
    <w:rsid w:val="0075326B"/>
    <w:rsid w:val="007533A8"/>
    <w:rsid w:val="00753959"/>
    <w:rsid w:val="007539A6"/>
    <w:rsid w:val="00753A71"/>
    <w:rsid w:val="00753E83"/>
    <w:rsid w:val="00754A44"/>
    <w:rsid w:val="007554BE"/>
    <w:rsid w:val="00755582"/>
    <w:rsid w:val="00755DD3"/>
    <w:rsid w:val="00756593"/>
    <w:rsid w:val="007577F3"/>
    <w:rsid w:val="00757BAF"/>
    <w:rsid w:val="00757FE9"/>
    <w:rsid w:val="00760173"/>
    <w:rsid w:val="00760504"/>
    <w:rsid w:val="00760772"/>
    <w:rsid w:val="0076092A"/>
    <w:rsid w:val="00760BF0"/>
    <w:rsid w:val="00760C7B"/>
    <w:rsid w:val="00762ADB"/>
    <w:rsid w:val="00762F33"/>
    <w:rsid w:val="00763518"/>
    <w:rsid w:val="00763668"/>
    <w:rsid w:val="00763829"/>
    <w:rsid w:val="00764139"/>
    <w:rsid w:val="00764EBB"/>
    <w:rsid w:val="00765EF2"/>
    <w:rsid w:val="0076653C"/>
    <w:rsid w:val="007665C9"/>
    <w:rsid w:val="00770474"/>
    <w:rsid w:val="007704CC"/>
    <w:rsid w:val="00770CCA"/>
    <w:rsid w:val="00770F55"/>
    <w:rsid w:val="007712B6"/>
    <w:rsid w:val="0077135B"/>
    <w:rsid w:val="0077276E"/>
    <w:rsid w:val="0077536F"/>
    <w:rsid w:val="00775414"/>
    <w:rsid w:val="0077547F"/>
    <w:rsid w:val="00775B88"/>
    <w:rsid w:val="00775BB6"/>
    <w:rsid w:val="0077659E"/>
    <w:rsid w:val="00777692"/>
    <w:rsid w:val="00777697"/>
    <w:rsid w:val="00781DA8"/>
    <w:rsid w:val="007828A7"/>
    <w:rsid w:val="00782A4F"/>
    <w:rsid w:val="00782A62"/>
    <w:rsid w:val="00783181"/>
    <w:rsid w:val="00784082"/>
    <w:rsid w:val="00784473"/>
    <w:rsid w:val="007847CE"/>
    <w:rsid w:val="00784DBA"/>
    <w:rsid w:val="00785AB6"/>
    <w:rsid w:val="00787048"/>
    <w:rsid w:val="00787461"/>
    <w:rsid w:val="007879ED"/>
    <w:rsid w:val="00790705"/>
    <w:rsid w:val="00790808"/>
    <w:rsid w:val="00790A1C"/>
    <w:rsid w:val="00790DC6"/>
    <w:rsid w:val="00791099"/>
    <w:rsid w:val="00791169"/>
    <w:rsid w:val="007915CF"/>
    <w:rsid w:val="007918D8"/>
    <w:rsid w:val="00791AC6"/>
    <w:rsid w:val="00791D2C"/>
    <w:rsid w:val="00792BDF"/>
    <w:rsid w:val="0079375F"/>
    <w:rsid w:val="007937EE"/>
    <w:rsid w:val="0079465D"/>
    <w:rsid w:val="00794A84"/>
    <w:rsid w:val="0079560F"/>
    <w:rsid w:val="00795FA5"/>
    <w:rsid w:val="00796FD5"/>
    <w:rsid w:val="0079703D"/>
    <w:rsid w:val="007975B6"/>
    <w:rsid w:val="00797859"/>
    <w:rsid w:val="00797DBE"/>
    <w:rsid w:val="007A0259"/>
    <w:rsid w:val="007A1407"/>
    <w:rsid w:val="007A17C6"/>
    <w:rsid w:val="007A190E"/>
    <w:rsid w:val="007A2074"/>
    <w:rsid w:val="007A26A7"/>
    <w:rsid w:val="007A31D6"/>
    <w:rsid w:val="007A37B8"/>
    <w:rsid w:val="007A3813"/>
    <w:rsid w:val="007A3E13"/>
    <w:rsid w:val="007A4D77"/>
    <w:rsid w:val="007A5F26"/>
    <w:rsid w:val="007B0176"/>
    <w:rsid w:val="007B0F76"/>
    <w:rsid w:val="007B13B8"/>
    <w:rsid w:val="007B1521"/>
    <w:rsid w:val="007B1CFA"/>
    <w:rsid w:val="007B1FE7"/>
    <w:rsid w:val="007B3153"/>
    <w:rsid w:val="007B3DDE"/>
    <w:rsid w:val="007B4A7B"/>
    <w:rsid w:val="007B4E02"/>
    <w:rsid w:val="007B5523"/>
    <w:rsid w:val="007B5802"/>
    <w:rsid w:val="007B5A3A"/>
    <w:rsid w:val="007B7520"/>
    <w:rsid w:val="007B773B"/>
    <w:rsid w:val="007B78BF"/>
    <w:rsid w:val="007C0148"/>
    <w:rsid w:val="007C02FB"/>
    <w:rsid w:val="007C066A"/>
    <w:rsid w:val="007C2600"/>
    <w:rsid w:val="007C2761"/>
    <w:rsid w:val="007C3102"/>
    <w:rsid w:val="007C3AD8"/>
    <w:rsid w:val="007C4F54"/>
    <w:rsid w:val="007C4F8F"/>
    <w:rsid w:val="007C5DE5"/>
    <w:rsid w:val="007C7621"/>
    <w:rsid w:val="007C78FC"/>
    <w:rsid w:val="007C7AED"/>
    <w:rsid w:val="007C7D75"/>
    <w:rsid w:val="007D0007"/>
    <w:rsid w:val="007D0058"/>
    <w:rsid w:val="007D05AE"/>
    <w:rsid w:val="007D1056"/>
    <w:rsid w:val="007D1135"/>
    <w:rsid w:val="007D18D2"/>
    <w:rsid w:val="007D257E"/>
    <w:rsid w:val="007D2D38"/>
    <w:rsid w:val="007D36E6"/>
    <w:rsid w:val="007D3E27"/>
    <w:rsid w:val="007D5006"/>
    <w:rsid w:val="007D5C9A"/>
    <w:rsid w:val="007D6CEB"/>
    <w:rsid w:val="007D7B4A"/>
    <w:rsid w:val="007E00D1"/>
    <w:rsid w:val="007E254A"/>
    <w:rsid w:val="007E2B67"/>
    <w:rsid w:val="007E2D2F"/>
    <w:rsid w:val="007E2FDC"/>
    <w:rsid w:val="007E3224"/>
    <w:rsid w:val="007E3CCB"/>
    <w:rsid w:val="007E3DF0"/>
    <w:rsid w:val="007E5F5B"/>
    <w:rsid w:val="007E6370"/>
    <w:rsid w:val="007E7544"/>
    <w:rsid w:val="007E755E"/>
    <w:rsid w:val="007E784A"/>
    <w:rsid w:val="007E7C5E"/>
    <w:rsid w:val="007E7D8F"/>
    <w:rsid w:val="007F0866"/>
    <w:rsid w:val="007F0EA9"/>
    <w:rsid w:val="007F103B"/>
    <w:rsid w:val="007F10E9"/>
    <w:rsid w:val="007F112C"/>
    <w:rsid w:val="007F13DD"/>
    <w:rsid w:val="007F1A50"/>
    <w:rsid w:val="007F1EB7"/>
    <w:rsid w:val="007F2054"/>
    <w:rsid w:val="007F256F"/>
    <w:rsid w:val="007F257B"/>
    <w:rsid w:val="007F2CC8"/>
    <w:rsid w:val="007F3557"/>
    <w:rsid w:val="007F4304"/>
    <w:rsid w:val="007F5AF1"/>
    <w:rsid w:val="007F61A8"/>
    <w:rsid w:val="007F7A15"/>
    <w:rsid w:val="00800275"/>
    <w:rsid w:val="008007CE"/>
    <w:rsid w:val="00800D3B"/>
    <w:rsid w:val="00801CAF"/>
    <w:rsid w:val="00801F47"/>
    <w:rsid w:val="008028DC"/>
    <w:rsid w:val="008030F2"/>
    <w:rsid w:val="0080337D"/>
    <w:rsid w:val="00803527"/>
    <w:rsid w:val="00803D93"/>
    <w:rsid w:val="00804A1A"/>
    <w:rsid w:val="00804E51"/>
    <w:rsid w:val="00805514"/>
    <w:rsid w:val="00805656"/>
    <w:rsid w:val="00806208"/>
    <w:rsid w:val="008068E1"/>
    <w:rsid w:val="008076B7"/>
    <w:rsid w:val="0080798F"/>
    <w:rsid w:val="00810114"/>
    <w:rsid w:val="008125ED"/>
    <w:rsid w:val="00812C3F"/>
    <w:rsid w:val="00813115"/>
    <w:rsid w:val="00813321"/>
    <w:rsid w:val="008138BB"/>
    <w:rsid w:val="00813C18"/>
    <w:rsid w:val="0081439A"/>
    <w:rsid w:val="00814AC8"/>
    <w:rsid w:val="00815C2B"/>
    <w:rsid w:val="0081630D"/>
    <w:rsid w:val="0081790A"/>
    <w:rsid w:val="00817C4E"/>
    <w:rsid w:val="00820178"/>
    <w:rsid w:val="008210A9"/>
    <w:rsid w:val="008214A8"/>
    <w:rsid w:val="008214BC"/>
    <w:rsid w:val="008216F0"/>
    <w:rsid w:val="00822500"/>
    <w:rsid w:val="008227F5"/>
    <w:rsid w:val="008232E1"/>
    <w:rsid w:val="00823665"/>
    <w:rsid w:val="008238B9"/>
    <w:rsid w:val="00823FB3"/>
    <w:rsid w:val="0082406C"/>
    <w:rsid w:val="0082429F"/>
    <w:rsid w:val="00826674"/>
    <w:rsid w:val="00826856"/>
    <w:rsid w:val="0083040E"/>
    <w:rsid w:val="00830C08"/>
    <w:rsid w:val="008328F4"/>
    <w:rsid w:val="0083297A"/>
    <w:rsid w:val="00832B7D"/>
    <w:rsid w:val="00832BBD"/>
    <w:rsid w:val="00832E49"/>
    <w:rsid w:val="0083336E"/>
    <w:rsid w:val="008352D9"/>
    <w:rsid w:val="008355D4"/>
    <w:rsid w:val="00835ED6"/>
    <w:rsid w:val="0083632A"/>
    <w:rsid w:val="008365FD"/>
    <w:rsid w:val="008369AA"/>
    <w:rsid w:val="00836ACD"/>
    <w:rsid w:val="00837E20"/>
    <w:rsid w:val="00837ECB"/>
    <w:rsid w:val="008408C4"/>
    <w:rsid w:val="008412B8"/>
    <w:rsid w:val="00841B53"/>
    <w:rsid w:val="00842760"/>
    <w:rsid w:val="00842A46"/>
    <w:rsid w:val="00842E13"/>
    <w:rsid w:val="00843432"/>
    <w:rsid w:val="00843589"/>
    <w:rsid w:val="0084369D"/>
    <w:rsid w:val="008437B1"/>
    <w:rsid w:val="00843E99"/>
    <w:rsid w:val="0084455F"/>
    <w:rsid w:val="0084468E"/>
    <w:rsid w:val="00844B8A"/>
    <w:rsid w:val="00846422"/>
    <w:rsid w:val="00846EAC"/>
    <w:rsid w:val="008519C1"/>
    <w:rsid w:val="00851F16"/>
    <w:rsid w:val="00851F4B"/>
    <w:rsid w:val="00853613"/>
    <w:rsid w:val="00854FE6"/>
    <w:rsid w:val="008551C1"/>
    <w:rsid w:val="00855245"/>
    <w:rsid w:val="0085656B"/>
    <w:rsid w:val="00856834"/>
    <w:rsid w:val="00856E19"/>
    <w:rsid w:val="00856F7E"/>
    <w:rsid w:val="00857553"/>
    <w:rsid w:val="008578F0"/>
    <w:rsid w:val="00860CF1"/>
    <w:rsid w:val="0086211E"/>
    <w:rsid w:val="0086237A"/>
    <w:rsid w:val="00863663"/>
    <w:rsid w:val="00864091"/>
    <w:rsid w:val="00864DB9"/>
    <w:rsid w:val="00865406"/>
    <w:rsid w:val="00865484"/>
    <w:rsid w:val="00865B76"/>
    <w:rsid w:val="00865B98"/>
    <w:rsid w:val="008667BC"/>
    <w:rsid w:val="00866BBE"/>
    <w:rsid w:val="008677C4"/>
    <w:rsid w:val="0086784A"/>
    <w:rsid w:val="0086785C"/>
    <w:rsid w:val="00867AA3"/>
    <w:rsid w:val="00867DD6"/>
    <w:rsid w:val="00867E25"/>
    <w:rsid w:val="0087074C"/>
    <w:rsid w:val="00870EB1"/>
    <w:rsid w:val="0087103E"/>
    <w:rsid w:val="00871206"/>
    <w:rsid w:val="00871551"/>
    <w:rsid w:val="00871736"/>
    <w:rsid w:val="00871B54"/>
    <w:rsid w:val="00872374"/>
    <w:rsid w:val="0087250E"/>
    <w:rsid w:val="00872B8A"/>
    <w:rsid w:val="00873979"/>
    <w:rsid w:val="008754A2"/>
    <w:rsid w:val="008758DD"/>
    <w:rsid w:val="00875913"/>
    <w:rsid w:val="00875B08"/>
    <w:rsid w:val="00875EB6"/>
    <w:rsid w:val="00875F34"/>
    <w:rsid w:val="008763CD"/>
    <w:rsid w:val="008778C0"/>
    <w:rsid w:val="008802C3"/>
    <w:rsid w:val="00880814"/>
    <w:rsid w:val="008808DD"/>
    <w:rsid w:val="00880F60"/>
    <w:rsid w:val="008814EC"/>
    <w:rsid w:val="00881D76"/>
    <w:rsid w:val="00882FA8"/>
    <w:rsid w:val="008848D0"/>
    <w:rsid w:val="00884A9F"/>
    <w:rsid w:val="00884C8E"/>
    <w:rsid w:val="00884EF3"/>
    <w:rsid w:val="008850F9"/>
    <w:rsid w:val="008852E8"/>
    <w:rsid w:val="0088542E"/>
    <w:rsid w:val="008861B2"/>
    <w:rsid w:val="00886710"/>
    <w:rsid w:val="008876C5"/>
    <w:rsid w:val="008878C2"/>
    <w:rsid w:val="00887B33"/>
    <w:rsid w:val="00887F3D"/>
    <w:rsid w:val="0089049F"/>
    <w:rsid w:val="00890CDC"/>
    <w:rsid w:val="00891480"/>
    <w:rsid w:val="008914D7"/>
    <w:rsid w:val="00891D5B"/>
    <w:rsid w:val="00892892"/>
    <w:rsid w:val="00892A1A"/>
    <w:rsid w:val="008945FF"/>
    <w:rsid w:val="00894A41"/>
    <w:rsid w:val="00894A5D"/>
    <w:rsid w:val="00894E9C"/>
    <w:rsid w:val="0089565E"/>
    <w:rsid w:val="008957AF"/>
    <w:rsid w:val="00895888"/>
    <w:rsid w:val="00895EF5"/>
    <w:rsid w:val="00896349"/>
    <w:rsid w:val="0089655A"/>
    <w:rsid w:val="00896F62"/>
    <w:rsid w:val="00897962"/>
    <w:rsid w:val="00897E9D"/>
    <w:rsid w:val="008A0031"/>
    <w:rsid w:val="008A027A"/>
    <w:rsid w:val="008A0286"/>
    <w:rsid w:val="008A0EB0"/>
    <w:rsid w:val="008A154D"/>
    <w:rsid w:val="008A1B66"/>
    <w:rsid w:val="008A1D16"/>
    <w:rsid w:val="008A2318"/>
    <w:rsid w:val="008A2640"/>
    <w:rsid w:val="008A2B04"/>
    <w:rsid w:val="008A3E05"/>
    <w:rsid w:val="008A3E2C"/>
    <w:rsid w:val="008A443B"/>
    <w:rsid w:val="008A4527"/>
    <w:rsid w:val="008A465C"/>
    <w:rsid w:val="008A52C5"/>
    <w:rsid w:val="008A5373"/>
    <w:rsid w:val="008A5408"/>
    <w:rsid w:val="008A55AA"/>
    <w:rsid w:val="008A57D0"/>
    <w:rsid w:val="008A5C11"/>
    <w:rsid w:val="008A67E3"/>
    <w:rsid w:val="008A6CDD"/>
    <w:rsid w:val="008A6DC9"/>
    <w:rsid w:val="008A722F"/>
    <w:rsid w:val="008A7AE2"/>
    <w:rsid w:val="008A7B9E"/>
    <w:rsid w:val="008A7DC3"/>
    <w:rsid w:val="008B05D1"/>
    <w:rsid w:val="008B11F5"/>
    <w:rsid w:val="008B1628"/>
    <w:rsid w:val="008B1697"/>
    <w:rsid w:val="008B1AF9"/>
    <w:rsid w:val="008B2219"/>
    <w:rsid w:val="008B2406"/>
    <w:rsid w:val="008B2D2F"/>
    <w:rsid w:val="008B2E66"/>
    <w:rsid w:val="008B3624"/>
    <w:rsid w:val="008B37D4"/>
    <w:rsid w:val="008B3CFD"/>
    <w:rsid w:val="008B41A4"/>
    <w:rsid w:val="008B4467"/>
    <w:rsid w:val="008B4731"/>
    <w:rsid w:val="008B563B"/>
    <w:rsid w:val="008B5A36"/>
    <w:rsid w:val="008B5AAB"/>
    <w:rsid w:val="008B6D74"/>
    <w:rsid w:val="008B7251"/>
    <w:rsid w:val="008B7812"/>
    <w:rsid w:val="008B7A93"/>
    <w:rsid w:val="008B7B38"/>
    <w:rsid w:val="008C046E"/>
    <w:rsid w:val="008C0916"/>
    <w:rsid w:val="008C16C9"/>
    <w:rsid w:val="008C18A2"/>
    <w:rsid w:val="008C1AEF"/>
    <w:rsid w:val="008C2981"/>
    <w:rsid w:val="008C2D8C"/>
    <w:rsid w:val="008C3DA0"/>
    <w:rsid w:val="008C447D"/>
    <w:rsid w:val="008C4E93"/>
    <w:rsid w:val="008C5B8E"/>
    <w:rsid w:val="008C5CA5"/>
    <w:rsid w:val="008C5E59"/>
    <w:rsid w:val="008C603B"/>
    <w:rsid w:val="008C625C"/>
    <w:rsid w:val="008C64E2"/>
    <w:rsid w:val="008C669E"/>
    <w:rsid w:val="008C702D"/>
    <w:rsid w:val="008C72D7"/>
    <w:rsid w:val="008C7778"/>
    <w:rsid w:val="008C7BDA"/>
    <w:rsid w:val="008D014F"/>
    <w:rsid w:val="008D0ADF"/>
    <w:rsid w:val="008D1A92"/>
    <w:rsid w:val="008D1C0D"/>
    <w:rsid w:val="008D2724"/>
    <w:rsid w:val="008D37DD"/>
    <w:rsid w:val="008D3F4C"/>
    <w:rsid w:val="008D3FA2"/>
    <w:rsid w:val="008D400F"/>
    <w:rsid w:val="008D4250"/>
    <w:rsid w:val="008D4668"/>
    <w:rsid w:val="008D488C"/>
    <w:rsid w:val="008D49A1"/>
    <w:rsid w:val="008D5F48"/>
    <w:rsid w:val="008D5F91"/>
    <w:rsid w:val="008D6B3F"/>
    <w:rsid w:val="008D6C88"/>
    <w:rsid w:val="008D73F5"/>
    <w:rsid w:val="008E0550"/>
    <w:rsid w:val="008E08E1"/>
    <w:rsid w:val="008E1936"/>
    <w:rsid w:val="008E1A30"/>
    <w:rsid w:val="008E2E74"/>
    <w:rsid w:val="008E3081"/>
    <w:rsid w:val="008E37F3"/>
    <w:rsid w:val="008E38ED"/>
    <w:rsid w:val="008E4AAC"/>
    <w:rsid w:val="008E575E"/>
    <w:rsid w:val="008E57C1"/>
    <w:rsid w:val="008E7302"/>
    <w:rsid w:val="008E7688"/>
    <w:rsid w:val="008E775E"/>
    <w:rsid w:val="008E7E6A"/>
    <w:rsid w:val="008F140F"/>
    <w:rsid w:val="008F1AA0"/>
    <w:rsid w:val="008F1DF3"/>
    <w:rsid w:val="008F2823"/>
    <w:rsid w:val="008F2A4B"/>
    <w:rsid w:val="008F2B90"/>
    <w:rsid w:val="008F2FB5"/>
    <w:rsid w:val="008F31EA"/>
    <w:rsid w:val="008F3BF6"/>
    <w:rsid w:val="008F45A8"/>
    <w:rsid w:val="008F4CAD"/>
    <w:rsid w:val="008F504F"/>
    <w:rsid w:val="008F52BE"/>
    <w:rsid w:val="008F5434"/>
    <w:rsid w:val="008F54CA"/>
    <w:rsid w:val="008F54CB"/>
    <w:rsid w:val="008F5AB7"/>
    <w:rsid w:val="008F6830"/>
    <w:rsid w:val="008F6F0F"/>
    <w:rsid w:val="008F7BC2"/>
    <w:rsid w:val="008F7BF7"/>
    <w:rsid w:val="008F7DFC"/>
    <w:rsid w:val="009000F7"/>
    <w:rsid w:val="0090012F"/>
    <w:rsid w:val="0090176B"/>
    <w:rsid w:val="00901D1A"/>
    <w:rsid w:val="00902030"/>
    <w:rsid w:val="0090223F"/>
    <w:rsid w:val="009028AF"/>
    <w:rsid w:val="00902F70"/>
    <w:rsid w:val="00903D72"/>
    <w:rsid w:val="00903EE0"/>
    <w:rsid w:val="009042FA"/>
    <w:rsid w:val="00904353"/>
    <w:rsid w:val="00904459"/>
    <w:rsid w:val="00904A4A"/>
    <w:rsid w:val="00904A4E"/>
    <w:rsid w:val="00905178"/>
    <w:rsid w:val="0090523E"/>
    <w:rsid w:val="00905A04"/>
    <w:rsid w:val="00905DF4"/>
    <w:rsid w:val="0090699C"/>
    <w:rsid w:val="00906A2B"/>
    <w:rsid w:val="00906D92"/>
    <w:rsid w:val="009070F5"/>
    <w:rsid w:val="009072FF"/>
    <w:rsid w:val="009073AB"/>
    <w:rsid w:val="009077CE"/>
    <w:rsid w:val="00907DDB"/>
    <w:rsid w:val="00911294"/>
    <w:rsid w:val="009113A2"/>
    <w:rsid w:val="00911458"/>
    <w:rsid w:val="009115BF"/>
    <w:rsid w:val="009121FD"/>
    <w:rsid w:val="00912DBA"/>
    <w:rsid w:val="0091327A"/>
    <w:rsid w:val="00914444"/>
    <w:rsid w:val="009145EF"/>
    <w:rsid w:val="00914ED6"/>
    <w:rsid w:val="00915269"/>
    <w:rsid w:val="0091591B"/>
    <w:rsid w:val="00915B17"/>
    <w:rsid w:val="00916478"/>
    <w:rsid w:val="00916573"/>
    <w:rsid w:val="00916639"/>
    <w:rsid w:val="00917788"/>
    <w:rsid w:val="00920FB8"/>
    <w:rsid w:val="0092182F"/>
    <w:rsid w:val="00921B73"/>
    <w:rsid w:val="00921FF3"/>
    <w:rsid w:val="00922494"/>
    <w:rsid w:val="00922DB8"/>
    <w:rsid w:val="0092327D"/>
    <w:rsid w:val="00923D44"/>
    <w:rsid w:val="0092419F"/>
    <w:rsid w:val="00924E4F"/>
    <w:rsid w:val="00924F86"/>
    <w:rsid w:val="00925059"/>
    <w:rsid w:val="009251BA"/>
    <w:rsid w:val="009256ED"/>
    <w:rsid w:val="00925B32"/>
    <w:rsid w:val="00925DA8"/>
    <w:rsid w:val="00926191"/>
    <w:rsid w:val="0092649E"/>
    <w:rsid w:val="00926713"/>
    <w:rsid w:val="00926DC8"/>
    <w:rsid w:val="00927FA7"/>
    <w:rsid w:val="00930A22"/>
    <w:rsid w:val="00930C8E"/>
    <w:rsid w:val="00930E98"/>
    <w:rsid w:val="00930EED"/>
    <w:rsid w:val="00930EF0"/>
    <w:rsid w:val="0093107D"/>
    <w:rsid w:val="0093241B"/>
    <w:rsid w:val="00932760"/>
    <w:rsid w:val="009337B9"/>
    <w:rsid w:val="00933CB8"/>
    <w:rsid w:val="00934528"/>
    <w:rsid w:val="00934746"/>
    <w:rsid w:val="009347F1"/>
    <w:rsid w:val="009349F7"/>
    <w:rsid w:val="00934E7A"/>
    <w:rsid w:val="00934EDD"/>
    <w:rsid w:val="00935143"/>
    <w:rsid w:val="00936A1C"/>
    <w:rsid w:val="00937218"/>
    <w:rsid w:val="009373D3"/>
    <w:rsid w:val="00937676"/>
    <w:rsid w:val="00937DE5"/>
    <w:rsid w:val="00937F4D"/>
    <w:rsid w:val="009402CE"/>
    <w:rsid w:val="00940728"/>
    <w:rsid w:val="009412A6"/>
    <w:rsid w:val="009413FD"/>
    <w:rsid w:val="0094256A"/>
    <w:rsid w:val="009427DA"/>
    <w:rsid w:val="009429A3"/>
    <w:rsid w:val="00942A97"/>
    <w:rsid w:val="00942F2A"/>
    <w:rsid w:val="00943077"/>
    <w:rsid w:val="00943CE2"/>
    <w:rsid w:val="009445D3"/>
    <w:rsid w:val="00944D47"/>
    <w:rsid w:val="00945D42"/>
    <w:rsid w:val="00945DED"/>
    <w:rsid w:val="00946535"/>
    <w:rsid w:val="0094755D"/>
    <w:rsid w:val="00947873"/>
    <w:rsid w:val="0095097C"/>
    <w:rsid w:val="00952CE5"/>
    <w:rsid w:val="00953069"/>
    <w:rsid w:val="0095378F"/>
    <w:rsid w:val="00953BA0"/>
    <w:rsid w:val="0095592C"/>
    <w:rsid w:val="00955BE7"/>
    <w:rsid w:val="0095676B"/>
    <w:rsid w:val="0095736A"/>
    <w:rsid w:val="00957926"/>
    <w:rsid w:val="00957D7D"/>
    <w:rsid w:val="00957E2B"/>
    <w:rsid w:val="00960A4D"/>
    <w:rsid w:val="009612D1"/>
    <w:rsid w:val="0096199F"/>
    <w:rsid w:val="009620C0"/>
    <w:rsid w:val="009624EC"/>
    <w:rsid w:val="009629BA"/>
    <w:rsid w:val="0096375B"/>
    <w:rsid w:val="00963E57"/>
    <w:rsid w:val="0096414B"/>
    <w:rsid w:val="009646F0"/>
    <w:rsid w:val="00964C36"/>
    <w:rsid w:val="00965056"/>
    <w:rsid w:val="0096581C"/>
    <w:rsid w:val="00965C2A"/>
    <w:rsid w:val="009665E0"/>
    <w:rsid w:val="0096775C"/>
    <w:rsid w:val="00967837"/>
    <w:rsid w:val="00967869"/>
    <w:rsid w:val="00970837"/>
    <w:rsid w:val="00970B13"/>
    <w:rsid w:val="00970C36"/>
    <w:rsid w:val="00971670"/>
    <w:rsid w:val="009722A1"/>
    <w:rsid w:val="0097259E"/>
    <w:rsid w:val="00973504"/>
    <w:rsid w:val="00974CFB"/>
    <w:rsid w:val="0097561E"/>
    <w:rsid w:val="00975693"/>
    <w:rsid w:val="009757DF"/>
    <w:rsid w:val="00975E9D"/>
    <w:rsid w:val="009764AD"/>
    <w:rsid w:val="009768CC"/>
    <w:rsid w:val="00976EFA"/>
    <w:rsid w:val="0097717E"/>
    <w:rsid w:val="009772FF"/>
    <w:rsid w:val="009774C5"/>
    <w:rsid w:val="009775A4"/>
    <w:rsid w:val="00977D70"/>
    <w:rsid w:val="0098133F"/>
    <w:rsid w:val="00981B5D"/>
    <w:rsid w:val="00981C0F"/>
    <w:rsid w:val="00981C84"/>
    <w:rsid w:val="009824BF"/>
    <w:rsid w:val="00982920"/>
    <w:rsid w:val="00983B77"/>
    <w:rsid w:val="00984403"/>
    <w:rsid w:val="009846A4"/>
    <w:rsid w:val="00985045"/>
    <w:rsid w:val="00986A01"/>
    <w:rsid w:val="00986FA8"/>
    <w:rsid w:val="00987885"/>
    <w:rsid w:val="00987995"/>
    <w:rsid w:val="00987FD7"/>
    <w:rsid w:val="00990067"/>
    <w:rsid w:val="009900E6"/>
    <w:rsid w:val="00990211"/>
    <w:rsid w:val="00990714"/>
    <w:rsid w:val="009914DD"/>
    <w:rsid w:val="009921D0"/>
    <w:rsid w:val="009921F4"/>
    <w:rsid w:val="009927C5"/>
    <w:rsid w:val="009929B8"/>
    <w:rsid w:val="00993667"/>
    <w:rsid w:val="00993A32"/>
    <w:rsid w:val="00993CD3"/>
    <w:rsid w:val="00994541"/>
    <w:rsid w:val="00994843"/>
    <w:rsid w:val="00995D88"/>
    <w:rsid w:val="009960C2"/>
    <w:rsid w:val="0099615D"/>
    <w:rsid w:val="00996266"/>
    <w:rsid w:val="00996F7E"/>
    <w:rsid w:val="00997D46"/>
    <w:rsid w:val="009A06E2"/>
    <w:rsid w:val="009A0F96"/>
    <w:rsid w:val="009A1190"/>
    <w:rsid w:val="009A1257"/>
    <w:rsid w:val="009A17AC"/>
    <w:rsid w:val="009A1A01"/>
    <w:rsid w:val="009A1E84"/>
    <w:rsid w:val="009A1F38"/>
    <w:rsid w:val="009A2671"/>
    <w:rsid w:val="009A2819"/>
    <w:rsid w:val="009A28E6"/>
    <w:rsid w:val="009A2C8D"/>
    <w:rsid w:val="009A330B"/>
    <w:rsid w:val="009A3382"/>
    <w:rsid w:val="009A3E68"/>
    <w:rsid w:val="009A3F05"/>
    <w:rsid w:val="009A4130"/>
    <w:rsid w:val="009A4834"/>
    <w:rsid w:val="009A49EB"/>
    <w:rsid w:val="009A55DD"/>
    <w:rsid w:val="009A5856"/>
    <w:rsid w:val="009A5980"/>
    <w:rsid w:val="009A5C32"/>
    <w:rsid w:val="009A5D04"/>
    <w:rsid w:val="009A63A6"/>
    <w:rsid w:val="009A6646"/>
    <w:rsid w:val="009A66CE"/>
    <w:rsid w:val="009A672D"/>
    <w:rsid w:val="009A67A5"/>
    <w:rsid w:val="009A6F4D"/>
    <w:rsid w:val="009A7140"/>
    <w:rsid w:val="009A767E"/>
    <w:rsid w:val="009A7D5C"/>
    <w:rsid w:val="009A7E2C"/>
    <w:rsid w:val="009A7F80"/>
    <w:rsid w:val="009B07B2"/>
    <w:rsid w:val="009B0A69"/>
    <w:rsid w:val="009B0DCC"/>
    <w:rsid w:val="009B114C"/>
    <w:rsid w:val="009B2622"/>
    <w:rsid w:val="009B3357"/>
    <w:rsid w:val="009B3558"/>
    <w:rsid w:val="009B3C0B"/>
    <w:rsid w:val="009B3D63"/>
    <w:rsid w:val="009B4219"/>
    <w:rsid w:val="009B4920"/>
    <w:rsid w:val="009B494F"/>
    <w:rsid w:val="009B4BF4"/>
    <w:rsid w:val="009B5427"/>
    <w:rsid w:val="009B5458"/>
    <w:rsid w:val="009B5C9B"/>
    <w:rsid w:val="009B5DAF"/>
    <w:rsid w:val="009B5F3D"/>
    <w:rsid w:val="009B600A"/>
    <w:rsid w:val="009B690E"/>
    <w:rsid w:val="009B7C0C"/>
    <w:rsid w:val="009B7DC9"/>
    <w:rsid w:val="009C0181"/>
    <w:rsid w:val="009C0A3C"/>
    <w:rsid w:val="009C10FA"/>
    <w:rsid w:val="009C157B"/>
    <w:rsid w:val="009C162A"/>
    <w:rsid w:val="009C19BD"/>
    <w:rsid w:val="009C1EDE"/>
    <w:rsid w:val="009C22AA"/>
    <w:rsid w:val="009C285B"/>
    <w:rsid w:val="009C2F03"/>
    <w:rsid w:val="009C3447"/>
    <w:rsid w:val="009C3F5A"/>
    <w:rsid w:val="009C43C6"/>
    <w:rsid w:val="009C4B96"/>
    <w:rsid w:val="009C5659"/>
    <w:rsid w:val="009C565A"/>
    <w:rsid w:val="009C59B3"/>
    <w:rsid w:val="009C5C0B"/>
    <w:rsid w:val="009C60AE"/>
    <w:rsid w:val="009C6B35"/>
    <w:rsid w:val="009C6D61"/>
    <w:rsid w:val="009C6F0E"/>
    <w:rsid w:val="009C7273"/>
    <w:rsid w:val="009C7361"/>
    <w:rsid w:val="009C7372"/>
    <w:rsid w:val="009C758F"/>
    <w:rsid w:val="009C76F9"/>
    <w:rsid w:val="009D0155"/>
    <w:rsid w:val="009D0190"/>
    <w:rsid w:val="009D181A"/>
    <w:rsid w:val="009D1A5E"/>
    <w:rsid w:val="009D1B08"/>
    <w:rsid w:val="009D1CD2"/>
    <w:rsid w:val="009D2965"/>
    <w:rsid w:val="009D29DB"/>
    <w:rsid w:val="009D2AE3"/>
    <w:rsid w:val="009D30E3"/>
    <w:rsid w:val="009D3163"/>
    <w:rsid w:val="009D3557"/>
    <w:rsid w:val="009D375D"/>
    <w:rsid w:val="009D394E"/>
    <w:rsid w:val="009D3D79"/>
    <w:rsid w:val="009D4246"/>
    <w:rsid w:val="009D44C9"/>
    <w:rsid w:val="009D5489"/>
    <w:rsid w:val="009D5B10"/>
    <w:rsid w:val="009D689F"/>
    <w:rsid w:val="009D7003"/>
    <w:rsid w:val="009D7731"/>
    <w:rsid w:val="009D7DCE"/>
    <w:rsid w:val="009D7E1B"/>
    <w:rsid w:val="009E0305"/>
    <w:rsid w:val="009E0517"/>
    <w:rsid w:val="009E07EB"/>
    <w:rsid w:val="009E0813"/>
    <w:rsid w:val="009E1636"/>
    <w:rsid w:val="009E1688"/>
    <w:rsid w:val="009E1E12"/>
    <w:rsid w:val="009E25DF"/>
    <w:rsid w:val="009E25E5"/>
    <w:rsid w:val="009E32DF"/>
    <w:rsid w:val="009E4308"/>
    <w:rsid w:val="009E4971"/>
    <w:rsid w:val="009E4BFC"/>
    <w:rsid w:val="009E4E15"/>
    <w:rsid w:val="009E516E"/>
    <w:rsid w:val="009E5BFF"/>
    <w:rsid w:val="009E6E7B"/>
    <w:rsid w:val="009E7187"/>
    <w:rsid w:val="009F01AD"/>
    <w:rsid w:val="009F0D0E"/>
    <w:rsid w:val="009F256F"/>
    <w:rsid w:val="009F2657"/>
    <w:rsid w:val="009F26F7"/>
    <w:rsid w:val="009F2DB7"/>
    <w:rsid w:val="009F3558"/>
    <w:rsid w:val="009F37DD"/>
    <w:rsid w:val="009F47B1"/>
    <w:rsid w:val="009F481F"/>
    <w:rsid w:val="009F49AA"/>
    <w:rsid w:val="009F4E24"/>
    <w:rsid w:val="009F58A3"/>
    <w:rsid w:val="009F5C08"/>
    <w:rsid w:val="009F66BC"/>
    <w:rsid w:val="009F730D"/>
    <w:rsid w:val="009F798E"/>
    <w:rsid w:val="009F7996"/>
    <w:rsid w:val="00A004E0"/>
    <w:rsid w:val="00A01BDA"/>
    <w:rsid w:val="00A01F16"/>
    <w:rsid w:val="00A02620"/>
    <w:rsid w:val="00A02D9C"/>
    <w:rsid w:val="00A02E07"/>
    <w:rsid w:val="00A039F4"/>
    <w:rsid w:val="00A03BC4"/>
    <w:rsid w:val="00A03F3B"/>
    <w:rsid w:val="00A04010"/>
    <w:rsid w:val="00A041AF"/>
    <w:rsid w:val="00A0452F"/>
    <w:rsid w:val="00A04ADC"/>
    <w:rsid w:val="00A04B32"/>
    <w:rsid w:val="00A04B41"/>
    <w:rsid w:val="00A05277"/>
    <w:rsid w:val="00A06348"/>
    <w:rsid w:val="00A06CAC"/>
    <w:rsid w:val="00A078CE"/>
    <w:rsid w:val="00A10C5F"/>
    <w:rsid w:val="00A11317"/>
    <w:rsid w:val="00A11646"/>
    <w:rsid w:val="00A11B64"/>
    <w:rsid w:val="00A11D77"/>
    <w:rsid w:val="00A13417"/>
    <w:rsid w:val="00A13DE1"/>
    <w:rsid w:val="00A13EE9"/>
    <w:rsid w:val="00A1409F"/>
    <w:rsid w:val="00A14E5B"/>
    <w:rsid w:val="00A16561"/>
    <w:rsid w:val="00A16EE3"/>
    <w:rsid w:val="00A17EA8"/>
    <w:rsid w:val="00A20525"/>
    <w:rsid w:val="00A20F1E"/>
    <w:rsid w:val="00A213AE"/>
    <w:rsid w:val="00A21A1E"/>
    <w:rsid w:val="00A22F29"/>
    <w:rsid w:val="00A22F49"/>
    <w:rsid w:val="00A23418"/>
    <w:rsid w:val="00A23687"/>
    <w:rsid w:val="00A24E00"/>
    <w:rsid w:val="00A25055"/>
    <w:rsid w:val="00A25321"/>
    <w:rsid w:val="00A258FD"/>
    <w:rsid w:val="00A262EA"/>
    <w:rsid w:val="00A274A7"/>
    <w:rsid w:val="00A2784E"/>
    <w:rsid w:val="00A27B06"/>
    <w:rsid w:val="00A27B07"/>
    <w:rsid w:val="00A30226"/>
    <w:rsid w:val="00A307C3"/>
    <w:rsid w:val="00A30822"/>
    <w:rsid w:val="00A30948"/>
    <w:rsid w:val="00A312C1"/>
    <w:rsid w:val="00A3132E"/>
    <w:rsid w:val="00A318F9"/>
    <w:rsid w:val="00A319BF"/>
    <w:rsid w:val="00A31A5F"/>
    <w:rsid w:val="00A31C2F"/>
    <w:rsid w:val="00A337B5"/>
    <w:rsid w:val="00A339E5"/>
    <w:rsid w:val="00A3433D"/>
    <w:rsid w:val="00A344E9"/>
    <w:rsid w:val="00A34762"/>
    <w:rsid w:val="00A34AE7"/>
    <w:rsid w:val="00A35959"/>
    <w:rsid w:val="00A360E3"/>
    <w:rsid w:val="00A365EB"/>
    <w:rsid w:val="00A368AD"/>
    <w:rsid w:val="00A36F14"/>
    <w:rsid w:val="00A37E6A"/>
    <w:rsid w:val="00A40446"/>
    <w:rsid w:val="00A411E2"/>
    <w:rsid w:val="00A41C17"/>
    <w:rsid w:val="00A420D9"/>
    <w:rsid w:val="00A4279B"/>
    <w:rsid w:val="00A42A0A"/>
    <w:rsid w:val="00A42D36"/>
    <w:rsid w:val="00A42E9D"/>
    <w:rsid w:val="00A434AB"/>
    <w:rsid w:val="00A44970"/>
    <w:rsid w:val="00A44BA2"/>
    <w:rsid w:val="00A45D49"/>
    <w:rsid w:val="00A47E81"/>
    <w:rsid w:val="00A5010D"/>
    <w:rsid w:val="00A5156B"/>
    <w:rsid w:val="00A51AA0"/>
    <w:rsid w:val="00A51B26"/>
    <w:rsid w:val="00A51FAB"/>
    <w:rsid w:val="00A52090"/>
    <w:rsid w:val="00A52725"/>
    <w:rsid w:val="00A52B67"/>
    <w:rsid w:val="00A52C16"/>
    <w:rsid w:val="00A52C3C"/>
    <w:rsid w:val="00A52D3F"/>
    <w:rsid w:val="00A53008"/>
    <w:rsid w:val="00A5372B"/>
    <w:rsid w:val="00A53E8A"/>
    <w:rsid w:val="00A5452C"/>
    <w:rsid w:val="00A549B4"/>
    <w:rsid w:val="00A56900"/>
    <w:rsid w:val="00A57213"/>
    <w:rsid w:val="00A57360"/>
    <w:rsid w:val="00A5776D"/>
    <w:rsid w:val="00A57DD2"/>
    <w:rsid w:val="00A606CC"/>
    <w:rsid w:val="00A60C76"/>
    <w:rsid w:val="00A6163F"/>
    <w:rsid w:val="00A61CD7"/>
    <w:rsid w:val="00A62178"/>
    <w:rsid w:val="00A630C2"/>
    <w:rsid w:val="00A64172"/>
    <w:rsid w:val="00A65988"/>
    <w:rsid w:val="00A659E8"/>
    <w:rsid w:val="00A65D03"/>
    <w:rsid w:val="00A65DB5"/>
    <w:rsid w:val="00A66E6C"/>
    <w:rsid w:val="00A671B9"/>
    <w:rsid w:val="00A673FD"/>
    <w:rsid w:val="00A6777B"/>
    <w:rsid w:val="00A67841"/>
    <w:rsid w:val="00A67B08"/>
    <w:rsid w:val="00A705D4"/>
    <w:rsid w:val="00A70953"/>
    <w:rsid w:val="00A72044"/>
    <w:rsid w:val="00A72C82"/>
    <w:rsid w:val="00A72D7E"/>
    <w:rsid w:val="00A72E4E"/>
    <w:rsid w:val="00A7309D"/>
    <w:rsid w:val="00A74207"/>
    <w:rsid w:val="00A746F1"/>
    <w:rsid w:val="00A74773"/>
    <w:rsid w:val="00A749AA"/>
    <w:rsid w:val="00A74A27"/>
    <w:rsid w:val="00A75475"/>
    <w:rsid w:val="00A75B4E"/>
    <w:rsid w:val="00A75C68"/>
    <w:rsid w:val="00A75FE9"/>
    <w:rsid w:val="00A760A1"/>
    <w:rsid w:val="00A760AC"/>
    <w:rsid w:val="00A765EE"/>
    <w:rsid w:val="00A7770F"/>
    <w:rsid w:val="00A80381"/>
    <w:rsid w:val="00A8040E"/>
    <w:rsid w:val="00A805DF"/>
    <w:rsid w:val="00A81807"/>
    <w:rsid w:val="00A818C1"/>
    <w:rsid w:val="00A8207B"/>
    <w:rsid w:val="00A82C1B"/>
    <w:rsid w:val="00A83392"/>
    <w:rsid w:val="00A83C0C"/>
    <w:rsid w:val="00A846BE"/>
    <w:rsid w:val="00A84CD5"/>
    <w:rsid w:val="00A84F91"/>
    <w:rsid w:val="00A855EB"/>
    <w:rsid w:val="00A85904"/>
    <w:rsid w:val="00A85A44"/>
    <w:rsid w:val="00A87D1F"/>
    <w:rsid w:val="00A87D6C"/>
    <w:rsid w:val="00A87DCF"/>
    <w:rsid w:val="00A90898"/>
    <w:rsid w:val="00A92CCC"/>
    <w:rsid w:val="00A92E01"/>
    <w:rsid w:val="00A93849"/>
    <w:rsid w:val="00A93903"/>
    <w:rsid w:val="00A94AAA"/>
    <w:rsid w:val="00A94CF0"/>
    <w:rsid w:val="00A94E34"/>
    <w:rsid w:val="00A9540B"/>
    <w:rsid w:val="00A954F4"/>
    <w:rsid w:val="00A957A5"/>
    <w:rsid w:val="00A9627C"/>
    <w:rsid w:val="00A966EB"/>
    <w:rsid w:val="00A96AF3"/>
    <w:rsid w:val="00A96E5A"/>
    <w:rsid w:val="00A971AB"/>
    <w:rsid w:val="00AA03A0"/>
    <w:rsid w:val="00AA0D9B"/>
    <w:rsid w:val="00AA105D"/>
    <w:rsid w:val="00AA1C16"/>
    <w:rsid w:val="00AA4295"/>
    <w:rsid w:val="00AA47B6"/>
    <w:rsid w:val="00AA5232"/>
    <w:rsid w:val="00AA54A5"/>
    <w:rsid w:val="00AA576E"/>
    <w:rsid w:val="00AA5AF8"/>
    <w:rsid w:val="00AA6332"/>
    <w:rsid w:val="00AA67FE"/>
    <w:rsid w:val="00AA6FBB"/>
    <w:rsid w:val="00AA7136"/>
    <w:rsid w:val="00AA71B5"/>
    <w:rsid w:val="00AA7428"/>
    <w:rsid w:val="00AA7A43"/>
    <w:rsid w:val="00AB0867"/>
    <w:rsid w:val="00AB0BBE"/>
    <w:rsid w:val="00AB15C3"/>
    <w:rsid w:val="00AB1C47"/>
    <w:rsid w:val="00AB2CC9"/>
    <w:rsid w:val="00AB37C0"/>
    <w:rsid w:val="00AB3916"/>
    <w:rsid w:val="00AB39A8"/>
    <w:rsid w:val="00AB3AAD"/>
    <w:rsid w:val="00AB45DB"/>
    <w:rsid w:val="00AB5254"/>
    <w:rsid w:val="00AB54EA"/>
    <w:rsid w:val="00AB5911"/>
    <w:rsid w:val="00AB661E"/>
    <w:rsid w:val="00AB6972"/>
    <w:rsid w:val="00AB6BC4"/>
    <w:rsid w:val="00AB6E87"/>
    <w:rsid w:val="00AB700E"/>
    <w:rsid w:val="00AB7547"/>
    <w:rsid w:val="00AB757A"/>
    <w:rsid w:val="00AB7C4B"/>
    <w:rsid w:val="00AC0020"/>
    <w:rsid w:val="00AC0251"/>
    <w:rsid w:val="00AC12FF"/>
    <w:rsid w:val="00AC1361"/>
    <w:rsid w:val="00AC140D"/>
    <w:rsid w:val="00AC1A9B"/>
    <w:rsid w:val="00AC1FD7"/>
    <w:rsid w:val="00AC2DEF"/>
    <w:rsid w:val="00AC2EA4"/>
    <w:rsid w:val="00AC3454"/>
    <w:rsid w:val="00AC3549"/>
    <w:rsid w:val="00AC399A"/>
    <w:rsid w:val="00AC5773"/>
    <w:rsid w:val="00AC58A7"/>
    <w:rsid w:val="00AC5E65"/>
    <w:rsid w:val="00AC621A"/>
    <w:rsid w:val="00AC6329"/>
    <w:rsid w:val="00AC6544"/>
    <w:rsid w:val="00AC7109"/>
    <w:rsid w:val="00AC7613"/>
    <w:rsid w:val="00AC7DA2"/>
    <w:rsid w:val="00AC7EC4"/>
    <w:rsid w:val="00AD0DA6"/>
    <w:rsid w:val="00AD1415"/>
    <w:rsid w:val="00AD17F0"/>
    <w:rsid w:val="00AD17F1"/>
    <w:rsid w:val="00AD2143"/>
    <w:rsid w:val="00AD21F7"/>
    <w:rsid w:val="00AD23DE"/>
    <w:rsid w:val="00AD2A16"/>
    <w:rsid w:val="00AD3181"/>
    <w:rsid w:val="00AD36A8"/>
    <w:rsid w:val="00AD36DF"/>
    <w:rsid w:val="00AD376D"/>
    <w:rsid w:val="00AD3A86"/>
    <w:rsid w:val="00AD3DD3"/>
    <w:rsid w:val="00AD435F"/>
    <w:rsid w:val="00AD49BB"/>
    <w:rsid w:val="00AD4D95"/>
    <w:rsid w:val="00AD53C1"/>
    <w:rsid w:val="00AD55D0"/>
    <w:rsid w:val="00AD5616"/>
    <w:rsid w:val="00AD5D17"/>
    <w:rsid w:val="00AD696A"/>
    <w:rsid w:val="00AD7186"/>
    <w:rsid w:val="00AD7503"/>
    <w:rsid w:val="00AD7DD5"/>
    <w:rsid w:val="00AE0BFB"/>
    <w:rsid w:val="00AE0D46"/>
    <w:rsid w:val="00AE0F54"/>
    <w:rsid w:val="00AE1E60"/>
    <w:rsid w:val="00AE1F27"/>
    <w:rsid w:val="00AE246F"/>
    <w:rsid w:val="00AE24C8"/>
    <w:rsid w:val="00AE2FB2"/>
    <w:rsid w:val="00AE34B0"/>
    <w:rsid w:val="00AE3CAB"/>
    <w:rsid w:val="00AE4F26"/>
    <w:rsid w:val="00AE52CD"/>
    <w:rsid w:val="00AE54E9"/>
    <w:rsid w:val="00AE6BB8"/>
    <w:rsid w:val="00AE6C4F"/>
    <w:rsid w:val="00AE725E"/>
    <w:rsid w:val="00AF0DE7"/>
    <w:rsid w:val="00AF1E56"/>
    <w:rsid w:val="00AF1FF7"/>
    <w:rsid w:val="00AF2480"/>
    <w:rsid w:val="00AF2517"/>
    <w:rsid w:val="00AF31CE"/>
    <w:rsid w:val="00AF4A0D"/>
    <w:rsid w:val="00AF4D97"/>
    <w:rsid w:val="00AF4ECC"/>
    <w:rsid w:val="00AF51C8"/>
    <w:rsid w:val="00AF5B5A"/>
    <w:rsid w:val="00AF5BB3"/>
    <w:rsid w:val="00AF678C"/>
    <w:rsid w:val="00AF6A0D"/>
    <w:rsid w:val="00AF6F2D"/>
    <w:rsid w:val="00AF7198"/>
    <w:rsid w:val="00AF7345"/>
    <w:rsid w:val="00B00240"/>
    <w:rsid w:val="00B00610"/>
    <w:rsid w:val="00B00DAA"/>
    <w:rsid w:val="00B01CAA"/>
    <w:rsid w:val="00B037D8"/>
    <w:rsid w:val="00B04B98"/>
    <w:rsid w:val="00B04F80"/>
    <w:rsid w:val="00B05F7F"/>
    <w:rsid w:val="00B06197"/>
    <w:rsid w:val="00B07693"/>
    <w:rsid w:val="00B07AD7"/>
    <w:rsid w:val="00B10497"/>
    <w:rsid w:val="00B109D5"/>
    <w:rsid w:val="00B1124B"/>
    <w:rsid w:val="00B116EC"/>
    <w:rsid w:val="00B11D53"/>
    <w:rsid w:val="00B142B9"/>
    <w:rsid w:val="00B1480F"/>
    <w:rsid w:val="00B14A10"/>
    <w:rsid w:val="00B14B04"/>
    <w:rsid w:val="00B15220"/>
    <w:rsid w:val="00B1535D"/>
    <w:rsid w:val="00B15573"/>
    <w:rsid w:val="00B16D7D"/>
    <w:rsid w:val="00B17075"/>
    <w:rsid w:val="00B17E1A"/>
    <w:rsid w:val="00B20A22"/>
    <w:rsid w:val="00B20AFD"/>
    <w:rsid w:val="00B2128E"/>
    <w:rsid w:val="00B21672"/>
    <w:rsid w:val="00B21DEB"/>
    <w:rsid w:val="00B2257F"/>
    <w:rsid w:val="00B2288E"/>
    <w:rsid w:val="00B229EB"/>
    <w:rsid w:val="00B230BD"/>
    <w:rsid w:val="00B2311E"/>
    <w:rsid w:val="00B2330D"/>
    <w:rsid w:val="00B233C3"/>
    <w:rsid w:val="00B235DF"/>
    <w:rsid w:val="00B23B1B"/>
    <w:rsid w:val="00B240ED"/>
    <w:rsid w:val="00B24A6B"/>
    <w:rsid w:val="00B25F9F"/>
    <w:rsid w:val="00B262A7"/>
    <w:rsid w:val="00B30A3C"/>
    <w:rsid w:val="00B316ED"/>
    <w:rsid w:val="00B32D2E"/>
    <w:rsid w:val="00B335AE"/>
    <w:rsid w:val="00B3375F"/>
    <w:rsid w:val="00B3495C"/>
    <w:rsid w:val="00B3576D"/>
    <w:rsid w:val="00B369CB"/>
    <w:rsid w:val="00B36FC3"/>
    <w:rsid w:val="00B37F18"/>
    <w:rsid w:val="00B4029E"/>
    <w:rsid w:val="00B40C5F"/>
    <w:rsid w:val="00B4179A"/>
    <w:rsid w:val="00B42D04"/>
    <w:rsid w:val="00B431D3"/>
    <w:rsid w:val="00B432C9"/>
    <w:rsid w:val="00B44F45"/>
    <w:rsid w:val="00B45895"/>
    <w:rsid w:val="00B45F93"/>
    <w:rsid w:val="00B46DCA"/>
    <w:rsid w:val="00B47055"/>
    <w:rsid w:val="00B47092"/>
    <w:rsid w:val="00B47168"/>
    <w:rsid w:val="00B4718C"/>
    <w:rsid w:val="00B51260"/>
    <w:rsid w:val="00B51491"/>
    <w:rsid w:val="00B51E6E"/>
    <w:rsid w:val="00B51EFC"/>
    <w:rsid w:val="00B52DB2"/>
    <w:rsid w:val="00B52F27"/>
    <w:rsid w:val="00B542DA"/>
    <w:rsid w:val="00B54BC5"/>
    <w:rsid w:val="00B54BEB"/>
    <w:rsid w:val="00B54E2D"/>
    <w:rsid w:val="00B54EF3"/>
    <w:rsid w:val="00B55319"/>
    <w:rsid w:val="00B55AD3"/>
    <w:rsid w:val="00B56251"/>
    <w:rsid w:val="00B56453"/>
    <w:rsid w:val="00B56DF9"/>
    <w:rsid w:val="00B576FF"/>
    <w:rsid w:val="00B5787B"/>
    <w:rsid w:val="00B57897"/>
    <w:rsid w:val="00B600EC"/>
    <w:rsid w:val="00B6045E"/>
    <w:rsid w:val="00B60483"/>
    <w:rsid w:val="00B60909"/>
    <w:rsid w:val="00B60E30"/>
    <w:rsid w:val="00B6120A"/>
    <w:rsid w:val="00B6122B"/>
    <w:rsid w:val="00B61E2C"/>
    <w:rsid w:val="00B624FC"/>
    <w:rsid w:val="00B63753"/>
    <w:rsid w:val="00B63FBB"/>
    <w:rsid w:val="00B64172"/>
    <w:rsid w:val="00B643A1"/>
    <w:rsid w:val="00B64490"/>
    <w:rsid w:val="00B64AAB"/>
    <w:rsid w:val="00B64D72"/>
    <w:rsid w:val="00B6634F"/>
    <w:rsid w:val="00B6665D"/>
    <w:rsid w:val="00B668E2"/>
    <w:rsid w:val="00B67E4A"/>
    <w:rsid w:val="00B71747"/>
    <w:rsid w:val="00B71BAD"/>
    <w:rsid w:val="00B72538"/>
    <w:rsid w:val="00B72819"/>
    <w:rsid w:val="00B72AC4"/>
    <w:rsid w:val="00B73004"/>
    <w:rsid w:val="00B73623"/>
    <w:rsid w:val="00B74D08"/>
    <w:rsid w:val="00B75544"/>
    <w:rsid w:val="00B75640"/>
    <w:rsid w:val="00B75FC1"/>
    <w:rsid w:val="00B7620C"/>
    <w:rsid w:val="00B76818"/>
    <w:rsid w:val="00B76963"/>
    <w:rsid w:val="00B77528"/>
    <w:rsid w:val="00B77597"/>
    <w:rsid w:val="00B77948"/>
    <w:rsid w:val="00B77B66"/>
    <w:rsid w:val="00B810B2"/>
    <w:rsid w:val="00B8264A"/>
    <w:rsid w:val="00B82AFD"/>
    <w:rsid w:val="00B8354B"/>
    <w:rsid w:val="00B83558"/>
    <w:rsid w:val="00B835AF"/>
    <w:rsid w:val="00B83DE0"/>
    <w:rsid w:val="00B83F2B"/>
    <w:rsid w:val="00B84A62"/>
    <w:rsid w:val="00B8528B"/>
    <w:rsid w:val="00B85829"/>
    <w:rsid w:val="00B85AF9"/>
    <w:rsid w:val="00B85F43"/>
    <w:rsid w:val="00B860CE"/>
    <w:rsid w:val="00B86BA5"/>
    <w:rsid w:val="00B86DA3"/>
    <w:rsid w:val="00B8703B"/>
    <w:rsid w:val="00B876A6"/>
    <w:rsid w:val="00B87D18"/>
    <w:rsid w:val="00B90AA9"/>
    <w:rsid w:val="00B91369"/>
    <w:rsid w:val="00B915FC"/>
    <w:rsid w:val="00B91E4F"/>
    <w:rsid w:val="00B92AAD"/>
    <w:rsid w:val="00B93579"/>
    <w:rsid w:val="00B93CC3"/>
    <w:rsid w:val="00B94136"/>
    <w:rsid w:val="00B947EC"/>
    <w:rsid w:val="00B94897"/>
    <w:rsid w:val="00B95D73"/>
    <w:rsid w:val="00B97E75"/>
    <w:rsid w:val="00BA0132"/>
    <w:rsid w:val="00BA05E6"/>
    <w:rsid w:val="00BA0788"/>
    <w:rsid w:val="00BA10B3"/>
    <w:rsid w:val="00BA2432"/>
    <w:rsid w:val="00BA26AD"/>
    <w:rsid w:val="00BA2864"/>
    <w:rsid w:val="00BA28CD"/>
    <w:rsid w:val="00BA32EB"/>
    <w:rsid w:val="00BA33D9"/>
    <w:rsid w:val="00BA3A24"/>
    <w:rsid w:val="00BA594E"/>
    <w:rsid w:val="00BA5B8F"/>
    <w:rsid w:val="00BA5BA4"/>
    <w:rsid w:val="00BA6463"/>
    <w:rsid w:val="00BA6651"/>
    <w:rsid w:val="00BA6AC3"/>
    <w:rsid w:val="00BA6E29"/>
    <w:rsid w:val="00BA7CCC"/>
    <w:rsid w:val="00BA7F5E"/>
    <w:rsid w:val="00BB0881"/>
    <w:rsid w:val="00BB089C"/>
    <w:rsid w:val="00BB0A71"/>
    <w:rsid w:val="00BB1295"/>
    <w:rsid w:val="00BB2254"/>
    <w:rsid w:val="00BB23C4"/>
    <w:rsid w:val="00BB24DB"/>
    <w:rsid w:val="00BB2E6C"/>
    <w:rsid w:val="00BB31C3"/>
    <w:rsid w:val="00BB37E5"/>
    <w:rsid w:val="00BB42AA"/>
    <w:rsid w:val="00BB47BE"/>
    <w:rsid w:val="00BB649C"/>
    <w:rsid w:val="00BB6F7E"/>
    <w:rsid w:val="00BB7836"/>
    <w:rsid w:val="00BC0B78"/>
    <w:rsid w:val="00BC12FD"/>
    <w:rsid w:val="00BC17E6"/>
    <w:rsid w:val="00BC2CF3"/>
    <w:rsid w:val="00BC3678"/>
    <w:rsid w:val="00BC377D"/>
    <w:rsid w:val="00BC3946"/>
    <w:rsid w:val="00BC480F"/>
    <w:rsid w:val="00BC4DE9"/>
    <w:rsid w:val="00BC52E2"/>
    <w:rsid w:val="00BC6309"/>
    <w:rsid w:val="00BC6E48"/>
    <w:rsid w:val="00BC6ED3"/>
    <w:rsid w:val="00BC709E"/>
    <w:rsid w:val="00BC757B"/>
    <w:rsid w:val="00BC79F6"/>
    <w:rsid w:val="00BD0019"/>
    <w:rsid w:val="00BD0271"/>
    <w:rsid w:val="00BD0963"/>
    <w:rsid w:val="00BD0B6F"/>
    <w:rsid w:val="00BD1FCB"/>
    <w:rsid w:val="00BD24D6"/>
    <w:rsid w:val="00BD3A43"/>
    <w:rsid w:val="00BD401B"/>
    <w:rsid w:val="00BD417D"/>
    <w:rsid w:val="00BD43AA"/>
    <w:rsid w:val="00BD5105"/>
    <w:rsid w:val="00BD5735"/>
    <w:rsid w:val="00BD5EEA"/>
    <w:rsid w:val="00BD62F5"/>
    <w:rsid w:val="00BD6D94"/>
    <w:rsid w:val="00BD703E"/>
    <w:rsid w:val="00BE0131"/>
    <w:rsid w:val="00BE067A"/>
    <w:rsid w:val="00BE0AE5"/>
    <w:rsid w:val="00BE1022"/>
    <w:rsid w:val="00BE109C"/>
    <w:rsid w:val="00BE1CDC"/>
    <w:rsid w:val="00BE2ADA"/>
    <w:rsid w:val="00BE3697"/>
    <w:rsid w:val="00BE3F6F"/>
    <w:rsid w:val="00BE419A"/>
    <w:rsid w:val="00BE4912"/>
    <w:rsid w:val="00BE513E"/>
    <w:rsid w:val="00BE5149"/>
    <w:rsid w:val="00BE5517"/>
    <w:rsid w:val="00BE5A66"/>
    <w:rsid w:val="00BE6105"/>
    <w:rsid w:val="00BE64C9"/>
    <w:rsid w:val="00BE69A2"/>
    <w:rsid w:val="00BE6C33"/>
    <w:rsid w:val="00BE73C0"/>
    <w:rsid w:val="00BE7BCF"/>
    <w:rsid w:val="00BF007C"/>
    <w:rsid w:val="00BF0174"/>
    <w:rsid w:val="00BF0DA8"/>
    <w:rsid w:val="00BF0FE4"/>
    <w:rsid w:val="00BF12C1"/>
    <w:rsid w:val="00BF191E"/>
    <w:rsid w:val="00BF286E"/>
    <w:rsid w:val="00BF343C"/>
    <w:rsid w:val="00BF3939"/>
    <w:rsid w:val="00BF3C60"/>
    <w:rsid w:val="00BF3C9B"/>
    <w:rsid w:val="00BF3E92"/>
    <w:rsid w:val="00BF4741"/>
    <w:rsid w:val="00BF4869"/>
    <w:rsid w:val="00BF4B40"/>
    <w:rsid w:val="00BF4BB7"/>
    <w:rsid w:val="00BF4BD1"/>
    <w:rsid w:val="00BF4C10"/>
    <w:rsid w:val="00BF508C"/>
    <w:rsid w:val="00BF560C"/>
    <w:rsid w:val="00BF5889"/>
    <w:rsid w:val="00BF7868"/>
    <w:rsid w:val="00BF7B8D"/>
    <w:rsid w:val="00BF7F61"/>
    <w:rsid w:val="00C0073E"/>
    <w:rsid w:val="00C00DCE"/>
    <w:rsid w:val="00C0131D"/>
    <w:rsid w:val="00C01817"/>
    <w:rsid w:val="00C02220"/>
    <w:rsid w:val="00C02B18"/>
    <w:rsid w:val="00C02C51"/>
    <w:rsid w:val="00C035D9"/>
    <w:rsid w:val="00C0402E"/>
    <w:rsid w:val="00C04130"/>
    <w:rsid w:val="00C041E8"/>
    <w:rsid w:val="00C042A2"/>
    <w:rsid w:val="00C049D6"/>
    <w:rsid w:val="00C04FB9"/>
    <w:rsid w:val="00C05169"/>
    <w:rsid w:val="00C05C2F"/>
    <w:rsid w:val="00C06940"/>
    <w:rsid w:val="00C07991"/>
    <w:rsid w:val="00C10234"/>
    <w:rsid w:val="00C10250"/>
    <w:rsid w:val="00C10911"/>
    <w:rsid w:val="00C1169A"/>
    <w:rsid w:val="00C11D63"/>
    <w:rsid w:val="00C11DA6"/>
    <w:rsid w:val="00C12418"/>
    <w:rsid w:val="00C12B23"/>
    <w:rsid w:val="00C12C0B"/>
    <w:rsid w:val="00C12E68"/>
    <w:rsid w:val="00C13CF1"/>
    <w:rsid w:val="00C1406B"/>
    <w:rsid w:val="00C14949"/>
    <w:rsid w:val="00C1575F"/>
    <w:rsid w:val="00C16357"/>
    <w:rsid w:val="00C165D7"/>
    <w:rsid w:val="00C1677D"/>
    <w:rsid w:val="00C16CEF"/>
    <w:rsid w:val="00C171F4"/>
    <w:rsid w:val="00C17E1C"/>
    <w:rsid w:val="00C203A1"/>
    <w:rsid w:val="00C20D39"/>
    <w:rsid w:val="00C21900"/>
    <w:rsid w:val="00C21F8C"/>
    <w:rsid w:val="00C22666"/>
    <w:rsid w:val="00C22993"/>
    <w:rsid w:val="00C22FDE"/>
    <w:rsid w:val="00C23427"/>
    <w:rsid w:val="00C23E3B"/>
    <w:rsid w:val="00C23E48"/>
    <w:rsid w:val="00C246D6"/>
    <w:rsid w:val="00C248EF"/>
    <w:rsid w:val="00C24D9E"/>
    <w:rsid w:val="00C24DE1"/>
    <w:rsid w:val="00C25C7D"/>
    <w:rsid w:val="00C25EF7"/>
    <w:rsid w:val="00C25F16"/>
    <w:rsid w:val="00C260B7"/>
    <w:rsid w:val="00C27801"/>
    <w:rsid w:val="00C27A01"/>
    <w:rsid w:val="00C27BFF"/>
    <w:rsid w:val="00C27D49"/>
    <w:rsid w:val="00C3032B"/>
    <w:rsid w:val="00C30CEC"/>
    <w:rsid w:val="00C3137C"/>
    <w:rsid w:val="00C31402"/>
    <w:rsid w:val="00C3179C"/>
    <w:rsid w:val="00C317EC"/>
    <w:rsid w:val="00C31DBA"/>
    <w:rsid w:val="00C32441"/>
    <w:rsid w:val="00C325B8"/>
    <w:rsid w:val="00C32763"/>
    <w:rsid w:val="00C32EEE"/>
    <w:rsid w:val="00C33634"/>
    <w:rsid w:val="00C33760"/>
    <w:rsid w:val="00C343C6"/>
    <w:rsid w:val="00C344BE"/>
    <w:rsid w:val="00C34EFE"/>
    <w:rsid w:val="00C358F6"/>
    <w:rsid w:val="00C35BF1"/>
    <w:rsid w:val="00C360A7"/>
    <w:rsid w:val="00C3658D"/>
    <w:rsid w:val="00C368E3"/>
    <w:rsid w:val="00C36C37"/>
    <w:rsid w:val="00C36E0C"/>
    <w:rsid w:val="00C36EEC"/>
    <w:rsid w:val="00C377B9"/>
    <w:rsid w:val="00C377D9"/>
    <w:rsid w:val="00C37DF0"/>
    <w:rsid w:val="00C4025B"/>
    <w:rsid w:val="00C4078E"/>
    <w:rsid w:val="00C411C6"/>
    <w:rsid w:val="00C41778"/>
    <w:rsid w:val="00C4184A"/>
    <w:rsid w:val="00C41AAA"/>
    <w:rsid w:val="00C41DCB"/>
    <w:rsid w:val="00C41DF5"/>
    <w:rsid w:val="00C42254"/>
    <w:rsid w:val="00C4294F"/>
    <w:rsid w:val="00C434F1"/>
    <w:rsid w:val="00C43500"/>
    <w:rsid w:val="00C438B5"/>
    <w:rsid w:val="00C43E62"/>
    <w:rsid w:val="00C44188"/>
    <w:rsid w:val="00C446E1"/>
    <w:rsid w:val="00C44702"/>
    <w:rsid w:val="00C44868"/>
    <w:rsid w:val="00C45E6E"/>
    <w:rsid w:val="00C45F52"/>
    <w:rsid w:val="00C46244"/>
    <w:rsid w:val="00C462AE"/>
    <w:rsid w:val="00C46538"/>
    <w:rsid w:val="00C46798"/>
    <w:rsid w:val="00C469EC"/>
    <w:rsid w:val="00C46CC8"/>
    <w:rsid w:val="00C470ED"/>
    <w:rsid w:val="00C50851"/>
    <w:rsid w:val="00C50C02"/>
    <w:rsid w:val="00C50CD3"/>
    <w:rsid w:val="00C50E78"/>
    <w:rsid w:val="00C51241"/>
    <w:rsid w:val="00C5137A"/>
    <w:rsid w:val="00C5198A"/>
    <w:rsid w:val="00C51FA6"/>
    <w:rsid w:val="00C52ABF"/>
    <w:rsid w:val="00C52E69"/>
    <w:rsid w:val="00C53127"/>
    <w:rsid w:val="00C532E4"/>
    <w:rsid w:val="00C535C2"/>
    <w:rsid w:val="00C541DD"/>
    <w:rsid w:val="00C54928"/>
    <w:rsid w:val="00C55918"/>
    <w:rsid w:val="00C56E49"/>
    <w:rsid w:val="00C56F31"/>
    <w:rsid w:val="00C572CB"/>
    <w:rsid w:val="00C57CA9"/>
    <w:rsid w:val="00C6009C"/>
    <w:rsid w:val="00C60DCF"/>
    <w:rsid w:val="00C6232C"/>
    <w:rsid w:val="00C62483"/>
    <w:rsid w:val="00C63219"/>
    <w:rsid w:val="00C63597"/>
    <w:rsid w:val="00C639C4"/>
    <w:rsid w:val="00C63F0A"/>
    <w:rsid w:val="00C648C3"/>
    <w:rsid w:val="00C649DB"/>
    <w:rsid w:val="00C65988"/>
    <w:rsid w:val="00C6599D"/>
    <w:rsid w:val="00C6611D"/>
    <w:rsid w:val="00C670B3"/>
    <w:rsid w:val="00C671A4"/>
    <w:rsid w:val="00C67A42"/>
    <w:rsid w:val="00C67D6C"/>
    <w:rsid w:val="00C700E0"/>
    <w:rsid w:val="00C706EC"/>
    <w:rsid w:val="00C70A8F"/>
    <w:rsid w:val="00C70C94"/>
    <w:rsid w:val="00C70C98"/>
    <w:rsid w:val="00C71561"/>
    <w:rsid w:val="00C729D7"/>
    <w:rsid w:val="00C734AE"/>
    <w:rsid w:val="00C7368A"/>
    <w:rsid w:val="00C741DC"/>
    <w:rsid w:val="00C74927"/>
    <w:rsid w:val="00C74B00"/>
    <w:rsid w:val="00C764B6"/>
    <w:rsid w:val="00C768EC"/>
    <w:rsid w:val="00C76935"/>
    <w:rsid w:val="00C770B6"/>
    <w:rsid w:val="00C77510"/>
    <w:rsid w:val="00C77770"/>
    <w:rsid w:val="00C8018F"/>
    <w:rsid w:val="00C80456"/>
    <w:rsid w:val="00C80588"/>
    <w:rsid w:val="00C820B5"/>
    <w:rsid w:val="00C820D9"/>
    <w:rsid w:val="00C82208"/>
    <w:rsid w:val="00C825EC"/>
    <w:rsid w:val="00C826E9"/>
    <w:rsid w:val="00C83378"/>
    <w:rsid w:val="00C83ED7"/>
    <w:rsid w:val="00C84753"/>
    <w:rsid w:val="00C84CCF"/>
    <w:rsid w:val="00C85175"/>
    <w:rsid w:val="00C85F65"/>
    <w:rsid w:val="00C863C8"/>
    <w:rsid w:val="00C8652B"/>
    <w:rsid w:val="00C90205"/>
    <w:rsid w:val="00C9021F"/>
    <w:rsid w:val="00C907F4"/>
    <w:rsid w:val="00C90867"/>
    <w:rsid w:val="00C90E70"/>
    <w:rsid w:val="00C9107C"/>
    <w:rsid w:val="00C91599"/>
    <w:rsid w:val="00C92032"/>
    <w:rsid w:val="00C9210F"/>
    <w:rsid w:val="00C92B59"/>
    <w:rsid w:val="00C92F66"/>
    <w:rsid w:val="00C93CC9"/>
    <w:rsid w:val="00C93FB7"/>
    <w:rsid w:val="00C94356"/>
    <w:rsid w:val="00C94E56"/>
    <w:rsid w:val="00C95102"/>
    <w:rsid w:val="00C963B4"/>
    <w:rsid w:val="00C96B8A"/>
    <w:rsid w:val="00C96FF7"/>
    <w:rsid w:val="00C972E9"/>
    <w:rsid w:val="00C97527"/>
    <w:rsid w:val="00C97A32"/>
    <w:rsid w:val="00C97A46"/>
    <w:rsid w:val="00CA0C61"/>
    <w:rsid w:val="00CA1458"/>
    <w:rsid w:val="00CA26E0"/>
    <w:rsid w:val="00CA28C5"/>
    <w:rsid w:val="00CA361B"/>
    <w:rsid w:val="00CA3C58"/>
    <w:rsid w:val="00CA42B5"/>
    <w:rsid w:val="00CA43BF"/>
    <w:rsid w:val="00CA4657"/>
    <w:rsid w:val="00CA46DD"/>
    <w:rsid w:val="00CA4732"/>
    <w:rsid w:val="00CA49F9"/>
    <w:rsid w:val="00CA5110"/>
    <w:rsid w:val="00CA552D"/>
    <w:rsid w:val="00CA57A5"/>
    <w:rsid w:val="00CA5986"/>
    <w:rsid w:val="00CA6226"/>
    <w:rsid w:val="00CA7E77"/>
    <w:rsid w:val="00CB05A7"/>
    <w:rsid w:val="00CB076F"/>
    <w:rsid w:val="00CB0C7A"/>
    <w:rsid w:val="00CB0D66"/>
    <w:rsid w:val="00CB2400"/>
    <w:rsid w:val="00CB255D"/>
    <w:rsid w:val="00CB2D43"/>
    <w:rsid w:val="00CB3A63"/>
    <w:rsid w:val="00CB469F"/>
    <w:rsid w:val="00CB4CB3"/>
    <w:rsid w:val="00CB5782"/>
    <w:rsid w:val="00CB5F18"/>
    <w:rsid w:val="00CB644A"/>
    <w:rsid w:val="00CB6B78"/>
    <w:rsid w:val="00CB72EF"/>
    <w:rsid w:val="00CB72F8"/>
    <w:rsid w:val="00CB790C"/>
    <w:rsid w:val="00CB7BDA"/>
    <w:rsid w:val="00CC0635"/>
    <w:rsid w:val="00CC0685"/>
    <w:rsid w:val="00CC0BCC"/>
    <w:rsid w:val="00CC1430"/>
    <w:rsid w:val="00CC1CE5"/>
    <w:rsid w:val="00CC2822"/>
    <w:rsid w:val="00CC2900"/>
    <w:rsid w:val="00CC456D"/>
    <w:rsid w:val="00CC54E9"/>
    <w:rsid w:val="00CC6201"/>
    <w:rsid w:val="00CC6AC3"/>
    <w:rsid w:val="00CC74E5"/>
    <w:rsid w:val="00CD0609"/>
    <w:rsid w:val="00CD0876"/>
    <w:rsid w:val="00CD126E"/>
    <w:rsid w:val="00CD2603"/>
    <w:rsid w:val="00CD2823"/>
    <w:rsid w:val="00CD2AB5"/>
    <w:rsid w:val="00CD2B84"/>
    <w:rsid w:val="00CD2DA8"/>
    <w:rsid w:val="00CD30D8"/>
    <w:rsid w:val="00CD3B85"/>
    <w:rsid w:val="00CD655E"/>
    <w:rsid w:val="00CD692F"/>
    <w:rsid w:val="00CD6AB3"/>
    <w:rsid w:val="00CD7B51"/>
    <w:rsid w:val="00CD7CE8"/>
    <w:rsid w:val="00CD7F19"/>
    <w:rsid w:val="00CD7FFD"/>
    <w:rsid w:val="00CE0016"/>
    <w:rsid w:val="00CE065D"/>
    <w:rsid w:val="00CE0A10"/>
    <w:rsid w:val="00CE0A6B"/>
    <w:rsid w:val="00CE102B"/>
    <w:rsid w:val="00CE15D5"/>
    <w:rsid w:val="00CE1C15"/>
    <w:rsid w:val="00CE26A9"/>
    <w:rsid w:val="00CE2F84"/>
    <w:rsid w:val="00CE3233"/>
    <w:rsid w:val="00CE3407"/>
    <w:rsid w:val="00CE3A77"/>
    <w:rsid w:val="00CE3D9F"/>
    <w:rsid w:val="00CE3E8B"/>
    <w:rsid w:val="00CE3E9D"/>
    <w:rsid w:val="00CE3FE4"/>
    <w:rsid w:val="00CE41F8"/>
    <w:rsid w:val="00CE42B7"/>
    <w:rsid w:val="00CE43B7"/>
    <w:rsid w:val="00CE4717"/>
    <w:rsid w:val="00CE4E64"/>
    <w:rsid w:val="00CE5A6F"/>
    <w:rsid w:val="00CE636F"/>
    <w:rsid w:val="00CE71A8"/>
    <w:rsid w:val="00CE7330"/>
    <w:rsid w:val="00CE75DC"/>
    <w:rsid w:val="00CF00D2"/>
    <w:rsid w:val="00CF010D"/>
    <w:rsid w:val="00CF02E3"/>
    <w:rsid w:val="00CF1344"/>
    <w:rsid w:val="00CF13AE"/>
    <w:rsid w:val="00CF162F"/>
    <w:rsid w:val="00CF2253"/>
    <w:rsid w:val="00CF3E65"/>
    <w:rsid w:val="00CF44FD"/>
    <w:rsid w:val="00CF4F05"/>
    <w:rsid w:val="00CF5A57"/>
    <w:rsid w:val="00CF63AA"/>
    <w:rsid w:val="00CF6E1E"/>
    <w:rsid w:val="00CF6E5E"/>
    <w:rsid w:val="00CF6F47"/>
    <w:rsid w:val="00CF7245"/>
    <w:rsid w:val="00CF73D2"/>
    <w:rsid w:val="00CF78CA"/>
    <w:rsid w:val="00CF7DD7"/>
    <w:rsid w:val="00D000D5"/>
    <w:rsid w:val="00D006F0"/>
    <w:rsid w:val="00D01156"/>
    <w:rsid w:val="00D029BE"/>
    <w:rsid w:val="00D02F28"/>
    <w:rsid w:val="00D030E5"/>
    <w:rsid w:val="00D0423A"/>
    <w:rsid w:val="00D05D5E"/>
    <w:rsid w:val="00D061E2"/>
    <w:rsid w:val="00D06458"/>
    <w:rsid w:val="00D07409"/>
    <w:rsid w:val="00D07462"/>
    <w:rsid w:val="00D0760C"/>
    <w:rsid w:val="00D07958"/>
    <w:rsid w:val="00D07C93"/>
    <w:rsid w:val="00D07F38"/>
    <w:rsid w:val="00D07F43"/>
    <w:rsid w:val="00D1008F"/>
    <w:rsid w:val="00D1086B"/>
    <w:rsid w:val="00D11387"/>
    <w:rsid w:val="00D11BF9"/>
    <w:rsid w:val="00D12048"/>
    <w:rsid w:val="00D12840"/>
    <w:rsid w:val="00D12A8C"/>
    <w:rsid w:val="00D12AA6"/>
    <w:rsid w:val="00D134AA"/>
    <w:rsid w:val="00D1386A"/>
    <w:rsid w:val="00D1437B"/>
    <w:rsid w:val="00D14564"/>
    <w:rsid w:val="00D1731C"/>
    <w:rsid w:val="00D17857"/>
    <w:rsid w:val="00D17C4F"/>
    <w:rsid w:val="00D2099E"/>
    <w:rsid w:val="00D20E23"/>
    <w:rsid w:val="00D21383"/>
    <w:rsid w:val="00D214D9"/>
    <w:rsid w:val="00D21732"/>
    <w:rsid w:val="00D219F4"/>
    <w:rsid w:val="00D22002"/>
    <w:rsid w:val="00D22123"/>
    <w:rsid w:val="00D2248B"/>
    <w:rsid w:val="00D2294B"/>
    <w:rsid w:val="00D22D30"/>
    <w:rsid w:val="00D23715"/>
    <w:rsid w:val="00D237FB"/>
    <w:rsid w:val="00D24573"/>
    <w:rsid w:val="00D24C2B"/>
    <w:rsid w:val="00D251C5"/>
    <w:rsid w:val="00D266AB"/>
    <w:rsid w:val="00D26F90"/>
    <w:rsid w:val="00D27CD9"/>
    <w:rsid w:val="00D27F2B"/>
    <w:rsid w:val="00D307AA"/>
    <w:rsid w:val="00D30E99"/>
    <w:rsid w:val="00D30EB2"/>
    <w:rsid w:val="00D30F1B"/>
    <w:rsid w:val="00D318C7"/>
    <w:rsid w:val="00D31B9B"/>
    <w:rsid w:val="00D31DF0"/>
    <w:rsid w:val="00D32622"/>
    <w:rsid w:val="00D32B9F"/>
    <w:rsid w:val="00D3307A"/>
    <w:rsid w:val="00D33517"/>
    <w:rsid w:val="00D3354B"/>
    <w:rsid w:val="00D33939"/>
    <w:rsid w:val="00D33AFD"/>
    <w:rsid w:val="00D33D09"/>
    <w:rsid w:val="00D34F2A"/>
    <w:rsid w:val="00D35690"/>
    <w:rsid w:val="00D360C6"/>
    <w:rsid w:val="00D3728C"/>
    <w:rsid w:val="00D3781A"/>
    <w:rsid w:val="00D37826"/>
    <w:rsid w:val="00D401DC"/>
    <w:rsid w:val="00D40A21"/>
    <w:rsid w:val="00D40A98"/>
    <w:rsid w:val="00D40AFE"/>
    <w:rsid w:val="00D419C2"/>
    <w:rsid w:val="00D41ADA"/>
    <w:rsid w:val="00D41D08"/>
    <w:rsid w:val="00D41EE1"/>
    <w:rsid w:val="00D43D2B"/>
    <w:rsid w:val="00D43D78"/>
    <w:rsid w:val="00D44997"/>
    <w:rsid w:val="00D44E3A"/>
    <w:rsid w:val="00D451F0"/>
    <w:rsid w:val="00D45D8F"/>
    <w:rsid w:val="00D46484"/>
    <w:rsid w:val="00D468F2"/>
    <w:rsid w:val="00D46A41"/>
    <w:rsid w:val="00D46F7C"/>
    <w:rsid w:val="00D4700B"/>
    <w:rsid w:val="00D47380"/>
    <w:rsid w:val="00D47562"/>
    <w:rsid w:val="00D476B9"/>
    <w:rsid w:val="00D50624"/>
    <w:rsid w:val="00D506E2"/>
    <w:rsid w:val="00D515C3"/>
    <w:rsid w:val="00D52135"/>
    <w:rsid w:val="00D54439"/>
    <w:rsid w:val="00D54ED7"/>
    <w:rsid w:val="00D54FA5"/>
    <w:rsid w:val="00D56222"/>
    <w:rsid w:val="00D568F3"/>
    <w:rsid w:val="00D56F8F"/>
    <w:rsid w:val="00D572FF"/>
    <w:rsid w:val="00D57355"/>
    <w:rsid w:val="00D606D5"/>
    <w:rsid w:val="00D61149"/>
    <w:rsid w:val="00D61B4D"/>
    <w:rsid w:val="00D61B88"/>
    <w:rsid w:val="00D61EED"/>
    <w:rsid w:val="00D62C14"/>
    <w:rsid w:val="00D638EC"/>
    <w:rsid w:val="00D63969"/>
    <w:rsid w:val="00D63ACB"/>
    <w:rsid w:val="00D63E38"/>
    <w:rsid w:val="00D6406A"/>
    <w:rsid w:val="00D64125"/>
    <w:rsid w:val="00D64345"/>
    <w:rsid w:val="00D64511"/>
    <w:rsid w:val="00D64AFA"/>
    <w:rsid w:val="00D65495"/>
    <w:rsid w:val="00D6555F"/>
    <w:rsid w:val="00D655EC"/>
    <w:rsid w:val="00D65A5A"/>
    <w:rsid w:val="00D66405"/>
    <w:rsid w:val="00D66638"/>
    <w:rsid w:val="00D66B2C"/>
    <w:rsid w:val="00D66B98"/>
    <w:rsid w:val="00D67BCE"/>
    <w:rsid w:val="00D70333"/>
    <w:rsid w:val="00D7095A"/>
    <w:rsid w:val="00D70A87"/>
    <w:rsid w:val="00D71852"/>
    <w:rsid w:val="00D71AB5"/>
    <w:rsid w:val="00D71AD5"/>
    <w:rsid w:val="00D71B21"/>
    <w:rsid w:val="00D71F35"/>
    <w:rsid w:val="00D725EE"/>
    <w:rsid w:val="00D72CD7"/>
    <w:rsid w:val="00D72E9E"/>
    <w:rsid w:val="00D738AB"/>
    <w:rsid w:val="00D73F92"/>
    <w:rsid w:val="00D74660"/>
    <w:rsid w:val="00D74877"/>
    <w:rsid w:val="00D74DB8"/>
    <w:rsid w:val="00D7658E"/>
    <w:rsid w:val="00D76F15"/>
    <w:rsid w:val="00D77254"/>
    <w:rsid w:val="00D77AC3"/>
    <w:rsid w:val="00D80537"/>
    <w:rsid w:val="00D80EB4"/>
    <w:rsid w:val="00D81136"/>
    <w:rsid w:val="00D8172E"/>
    <w:rsid w:val="00D83197"/>
    <w:rsid w:val="00D83750"/>
    <w:rsid w:val="00D84279"/>
    <w:rsid w:val="00D8489E"/>
    <w:rsid w:val="00D84903"/>
    <w:rsid w:val="00D84A2B"/>
    <w:rsid w:val="00D84AE2"/>
    <w:rsid w:val="00D85905"/>
    <w:rsid w:val="00D85B48"/>
    <w:rsid w:val="00D85E9F"/>
    <w:rsid w:val="00D8612D"/>
    <w:rsid w:val="00D866F5"/>
    <w:rsid w:val="00D870E0"/>
    <w:rsid w:val="00D8737C"/>
    <w:rsid w:val="00D879A8"/>
    <w:rsid w:val="00D902B6"/>
    <w:rsid w:val="00D90542"/>
    <w:rsid w:val="00D90E4A"/>
    <w:rsid w:val="00D915E9"/>
    <w:rsid w:val="00D92BDB"/>
    <w:rsid w:val="00D92C78"/>
    <w:rsid w:val="00D92DA4"/>
    <w:rsid w:val="00D92FA0"/>
    <w:rsid w:val="00D932F9"/>
    <w:rsid w:val="00D94176"/>
    <w:rsid w:val="00D945AB"/>
    <w:rsid w:val="00D94753"/>
    <w:rsid w:val="00D94785"/>
    <w:rsid w:val="00D94C2E"/>
    <w:rsid w:val="00D95E49"/>
    <w:rsid w:val="00D95FEF"/>
    <w:rsid w:val="00D962BD"/>
    <w:rsid w:val="00D96A57"/>
    <w:rsid w:val="00D96DED"/>
    <w:rsid w:val="00D977E7"/>
    <w:rsid w:val="00D979A7"/>
    <w:rsid w:val="00D979E4"/>
    <w:rsid w:val="00DA00A0"/>
    <w:rsid w:val="00DA0872"/>
    <w:rsid w:val="00DA0971"/>
    <w:rsid w:val="00DA1C6D"/>
    <w:rsid w:val="00DA2745"/>
    <w:rsid w:val="00DA2C23"/>
    <w:rsid w:val="00DA37FE"/>
    <w:rsid w:val="00DA56D8"/>
    <w:rsid w:val="00DA5C5B"/>
    <w:rsid w:val="00DA6557"/>
    <w:rsid w:val="00DA6A32"/>
    <w:rsid w:val="00DA704A"/>
    <w:rsid w:val="00DA7A75"/>
    <w:rsid w:val="00DA7DC0"/>
    <w:rsid w:val="00DB01D8"/>
    <w:rsid w:val="00DB04B8"/>
    <w:rsid w:val="00DB0777"/>
    <w:rsid w:val="00DB0805"/>
    <w:rsid w:val="00DB0B2C"/>
    <w:rsid w:val="00DB0B81"/>
    <w:rsid w:val="00DB0F8E"/>
    <w:rsid w:val="00DB1A9E"/>
    <w:rsid w:val="00DB2A30"/>
    <w:rsid w:val="00DB2BDE"/>
    <w:rsid w:val="00DB4121"/>
    <w:rsid w:val="00DB578F"/>
    <w:rsid w:val="00DB5A1D"/>
    <w:rsid w:val="00DB619C"/>
    <w:rsid w:val="00DB6FF2"/>
    <w:rsid w:val="00DB7220"/>
    <w:rsid w:val="00DB7799"/>
    <w:rsid w:val="00DB7A43"/>
    <w:rsid w:val="00DC0DB4"/>
    <w:rsid w:val="00DC12F8"/>
    <w:rsid w:val="00DC1B0C"/>
    <w:rsid w:val="00DC2252"/>
    <w:rsid w:val="00DC28E1"/>
    <w:rsid w:val="00DC319F"/>
    <w:rsid w:val="00DC3EF6"/>
    <w:rsid w:val="00DC40EE"/>
    <w:rsid w:val="00DC4535"/>
    <w:rsid w:val="00DC4B38"/>
    <w:rsid w:val="00DC5575"/>
    <w:rsid w:val="00DC5771"/>
    <w:rsid w:val="00DC5E70"/>
    <w:rsid w:val="00DC6B50"/>
    <w:rsid w:val="00DC71AA"/>
    <w:rsid w:val="00DC7BDD"/>
    <w:rsid w:val="00DD04AE"/>
    <w:rsid w:val="00DD0782"/>
    <w:rsid w:val="00DD0FAC"/>
    <w:rsid w:val="00DD12AD"/>
    <w:rsid w:val="00DD13D1"/>
    <w:rsid w:val="00DD157E"/>
    <w:rsid w:val="00DD16B9"/>
    <w:rsid w:val="00DD1A60"/>
    <w:rsid w:val="00DD1E16"/>
    <w:rsid w:val="00DD20F3"/>
    <w:rsid w:val="00DD2667"/>
    <w:rsid w:val="00DD31D7"/>
    <w:rsid w:val="00DD35E4"/>
    <w:rsid w:val="00DD3A5D"/>
    <w:rsid w:val="00DD4DA2"/>
    <w:rsid w:val="00DD5342"/>
    <w:rsid w:val="00DD56B9"/>
    <w:rsid w:val="00DD583C"/>
    <w:rsid w:val="00DD5C71"/>
    <w:rsid w:val="00DD6662"/>
    <w:rsid w:val="00DD736D"/>
    <w:rsid w:val="00DD765B"/>
    <w:rsid w:val="00DD7B60"/>
    <w:rsid w:val="00DE07B4"/>
    <w:rsid w:val="00DE0AB4"/>
    <w:rsid w:val="00DE0E2E"/>
    <w:rsid w:val="00DE23D4"/>
    <w:rsid w:val="00DE243E"/>
    <w:rsid w:val="00DE296A"/>
    <w:rsid w:val="00DE470A"/>
    <w:rsid w:val="00DE4B55"/>
    <w:rsid w:val="00DE58D4"/>
    <w:rsid w:val="00DE5A99"/>
    <w:rsid w:val="00DE5FE2"/>
    <w:rsid w:val="00DE60EC"/>
    <w:rsid w:val="00DE6957"/>
    <w:rsid w:val="00DE74BD"/>
    <w:rsid w:val="00DE784C"/>
    <w:rsid w:val="00DF0EF2"/>
    <w:rsid w:val="00DF0F04"/>
    <w:rsid w:val="00DF2D91"/>
    <w:rsid w:val="00DF34A6"/>
    <w:rsid w:val="00DF38DD"/>
    <w:rsid w:val="00DF3967"/>
    <w:rsid w:val="00DF3C92"/>
    <w:rsid w:val="00DF3FAD"/>
    <w:rsid w:val="00DF4538"/>
    <w:rsid w:val="00DF503F"/>
    <w:rsid w:val="00DF51A1"/>
    <w:rsid w:val="00DF562C"/>
    <w:rsid w:val="00DF5D57"/>
    <w:rsid w:val="00DF5DEB"/>
    <w:rsid w:val="00DF5E99"/>
    <w:rsid w:val="00DF5F25"/>
    <w:rsid w:val="00DF63F7"/>
    <w:rsid w:val="00DF6F2E"/>
    <w:rsid w:val="00DF6FBD"/>
    <w:rsid w:val="00DF734F"/>
    <w:rsid w:val="00DF767A"/>
    <w:rsid w:val="00E00010"/>
    <w:rsid w:val="00E000ED"/>
    <w:rsid w:val="00E00798"/>
    <w:rsid w:val="00E00813"/>
    <w:rsid w:val="00E00AA6"/>
    <w:rsid w:val="00E01541"/>
    <w:rsid w:val="00E01600"/>
    <w:rsid w:val="00E0267A"/>
    <w:rsid w:val="00E02DE4"/>
    <w:rsid w:val="00E030FE"/>
    <w:rsid w:val="00E04E7F"/>
    <w:rsid w:val="00E05846"/>
    <w:rsid w:val="00E05C0F"/>
    <w:rsid w:val="00E06477"/>
    <w:rsid w:val="00E0705C"/>
    <w:rsid w:val="00E071FC"/>
    <w:rsid w:val="00E07C35"/>
    <w:rsid w:val="00E106EE"/>
    <w:rsid w:val="00E11DA8"/>
    <w:rsid w:val="00E12310"/>
    <w:rsid w:val="00E12970"/>
    <w:rsid w:val="00E12FCB"/>
    <w:rsid w:val="00E150E7"/>
    <w:rsid w:val="00E1663B"/>
    <w:rsid w:val="00E16974"/>
    <w:rsid w:val="00E16B27"/>
    <w:rsid w:val="00E16B7C"/>
    <w:rsid w:val="00E16E9A"/>
    <w:rsid w:val="00E20528"/>
    <w:rsid w:val="00E20EA9"/>
    <w:rsid w:val="00E2113E"/>
    <w:rsid w:val="00E21151"/>
    <w:rsid w:val="00E22D7C"/>
    <w:rsid w:val="00E23168"/>
    <w:rsid w:val="00E232A9"/>
    <w:rsid w:val="00E235DF"/>
    <w:rsid w:val="00E23FE7"/>
    <w:rsid w:val="00E24156"/>
    <w:rsid w:val="00E24571"/>
    <w:rsid w:val="00E246A6"/>
    <w:rsid w:val="00E2689B"/>
    <w:rsid w:val="00E2689D"/>
    <w:rsid w:val="00E2751A"/>
    <w:rsid w:val="00E27A3A"/>
    <w:rsid w:val="00E300E2"/>
    <w:rsid w:val="00E30225"/>
    <w:rsid w:val="00E3159B"/>
    <w:rsid w:val="00E317F5"/>
    <w:rsid w:val="00E337AF"/>
    <w:rsid w:val="00E34492"/>
    <w:rsid w:val="00E34AAF"/>
    <w:rsid w:val="00E372BC"/>
    <w:rsid w:val="00E37369"/>
    <w:rsid w:val="00E37430"/>
    <w:rsid w:val="00E37545"/>
    <w:rsid w:val="00E3760C"/>
    <w:rsid w:val="00E37DD2"/>
    <w:rsid w:val="00E410FA"/>
    <w:rsid w:val="00E41798"/>
    <w:rsid w:val="00E423B4"/>
    <w:rsid w:val="00E42695"/>
    <w:rsid w:val="00E42F0B"/>
    <w:rsid w:val="00E436EE"/>
    <w:rsid w:val="00E442FE"/>
    <w:rsid w:val="00E452A6"/>
    <w:rsid w:val="00E45AB4"/>
    <w:rsid w:val="00E45BAF"/>
    <w:rsid w:val="00E45C7A"/>
    <w:rsid w:val="00E463B2"/>
    <w:rsid w:val="00E46ADB"/>
    <w:rsid w:val="00E46C49"/>
    <w:rsid w:val="00E47098"/>
    <w:rsid w:val="00E470F3"/>
    <w:rsid w:val="00E477A5"/>
    <w:rsid w:val="00E4787E"/>
    <w:rsid w:val="00E479E9"/>
    <w:rsid w:val="00E500D4"/>
    <w:rsid w:val="00E50A91"/>
    <w:rsid w:val="00E50B9F"/>
    <w:rsid w:val="00E51970"/>
    <w:rsid w:val="00E51E1C"/>
    <w:rsid w:val="00E525F5"/>
    <w:rsid w:val="00E528FA"/>
    <w:rsid w:val="00E52BD5"/>
    <w:rsid w:val="00E5330D"/>
    <w:rsid w:val="00E536F9"/>
    <w:rsid w:val="00E5495C"/>
    <w:rsid w:val="00E54A96"/>
    <w:rsid w:val="00E54F9D"/>
    <w:rsid w:val="00E55045"/>
    <w:rsid w:val="00E55568"/>
    <w:rsid w:val="00E56CEB"/>
    <w:rsid w:val="00E575E4"/>
    <w:rsid w:val="00E57CE6"/>
    <w:rsid w:val="00E601A0"/>
    <w:rsid w:val="00E606EA"/>
    <w:rsid w:val="00E61043"/>
    <w:rsid w:val="00E6139D"/>
    <w:rsid w:val="00E61460"/>
    <w:rsid w:val="00E614FE"/>
    <w:rsid w:val="00E61815"/>
    <w:rsid w:val="00E61D24"/>
    <w:rsid w:val="00E61E9C"/>
    <w:rsid w:val="00E62303"/>
    <w:rsid w:val="00E63197"/>
    <w:rsid w:val="00E63B99"/>
    <w:rsid w:val="00E63CCD"/>
    <w:rsid w:val="00E63E58"/>
    <w:rsid w:val="00E642F2"/>
    <w:rsid w:val="00E64969"/>
    <w:rsid w:val="00E65B46"/>
    <w:rsid w:val="00E6643A"/>
    <w:rsid w:val="00E66584"/>
    <w:rsid w:val="00E668D0"/>
    <w:rsid w:val="00E66E99"/>
    <w:rsid w:val="00E67832"/>
    <w:rsid w:val="00E679A4"/>
    <w:rsid w:val="00E7013F"/>
    <w:rsid w:val="00E711D1"/>
    <w:rsid w:val="00E72167"/>
    <w:rsid w:val="00E7256C"/>
    <w:rsid w:val="00E72A33"/>
    <w:rsid w:val="00E72F58"/>
    <w:rsid w:val="00E73B4F"/>
    <w:rsid w:val="00E740FD"/>
    <w:rsid w:val="00E74104"/>
    <w:rsid w:val="00E745ED"/>
    <w:rsid w:val="00E7504E"/>
    <w:rsid w:val="00E7511B"/>
    <w:rsid w:val="00E76870"/>
    <w:rsid w:val="00E76F2B"/>
    <w:rsid w:val="00E771C5"/>
    <w:rsid w:val="00E7766E"/>
    <w:rsid w:val="00E77C21"/>
    <w:rsid w:val="00E80D13"/>
    <w:rsid w:val="00E80FB2"/>
    <w:rsid w:val="00E83B92"/>
    <w:rsid w:val="00E83C30"/>
    <w:rsid w:val="00E83D71"/>
    <w:rsid w:val="00E83E4F"/>
    <w:rsid w:val="00E83F41"/>
    <w:rsid w:val="00E8460A"/>
    <w:rsid w:val="00E8540D"/>
    <w:rsid w:val="00E85808"/>
    <w:rsid w:val="00E8584A"/>
    <w:rsid w:val="00E86989"/>
    <w:rsid w:val="00E86F4E"/>
    <w:rsid w:val="00E879B7"/>
    <w:rsid w:val="00E91520"/>
    <w:rsid w:val="00E91845"/>
    <w:rsid w:val="00E921D2"/>
    <w:rsid w:val="00E92342"/>
    <w:rsid w:val="00E933B3"/>
    <w:rsid w:val="00E93AFA"/>
    <w:rsid w:val="00E93FC7"/>
    <w:rsid w:val="00E948F0"/>
    <w:rsid w:val="00E94E8B"/>
    <w:rsid w:val="00E95183"/>
    <w:rsid w:val="00E9542D"/>
    <w:rsid w:val="00E95F5E"/>
    <w:rsid w:val="00E96DDF"/>
    <w:rsid w:val="00E97493"/>
    <w:rsid w:val="00E975B6"/>
    <w:rsid w:val="00E97720"/>
    <w:rsid w:val="00E978B6"/>
    <w:rsid w:val="00EA024D"/>
    <w:rsid w:val="00EA02D0"/>
    <w:rsid w:val="00EA15DF"/>
    <w:rsid w:val="00EA174E"/>
    <w:rsid w:val="00EA21C5"/>
    <w:rsid w:val="00EA268A"/>
    <w:rsid w:val="00EA29B5"/>
    <w:rsid w:val="00EA29C9"/>
    <w:rsid w:val="00EA2CA7"/>
    <w:rsid w:val="00EA2EE4"/>
    <w:rsid w:val="00EA32B3"/>
    <w:rsid w:val="00EA458E"/>
    <w:rsid w:val="00EA4590"/>
    <w:rsid w:val="00EA49A2"/>
    <w:rsid w:val="00EA4A48"/>
    <w:rsid w:val="00EA5C4C"/>
    <w:rsid w:val="00EA630D"/>
    <w:rsid w:val="00EA6825"/>
    <w:rsid w:val="00EA6DF2"/>
    <w:rsid w:val="00EA71A6"/>
    <w:rsid w:val="00EA71D3"/>
    <w:rsid w:val="00EA7B93"/>
    <w:rsid w:val="00EA7DF4"/>
    <w:rsid w:val="00EB0896"/>
    <w:rsid w:val="00EB0BEA"/>
    <w:rsid w:val="00EB0FBA"/>
    <w:rsid w:val="00EB11D9"/>
    <w:rsid w:val="00EB1B96"/>
    <w:rsid w:val="00EB2002"/>
    <w:rsid w:val="00EB22F3"/>
    <w:rsid w:val="00EB25FD"/>
    <w:rsid w:val="00EB26DB"/>
    <w:rsid w:val="00EB2F88"/>
    <w:rsid w:val="00EB3947"/>
    <w:rsid w:val="00EB4359"/>
    <w:rsid w:val="00EB4C33"/>
    <w:rsid w:val="00EB5639"/>
    <w:rsid w:val="00EB5EDD"/>
    <w:rsid w:val="00EB68AB"/>
    <w:rsid w:val="00EB6E82"/>
    <w:rsid w:val="00EB760C"/>
    <w:rsid w:val="00EB7738"/>
    <w:rsid w:val="00EB776E"/>
    <w:rsid w:val="00EB7851"/>
    <w:rsid w:val="00EB788C"/>
    <w:rsid w:val="00EC0318"/>
    <w:rsid w:val="00EC0354"/>
    <w:rsid w:val="00EC03E3"/>
    <w:rsid w:val="00EC0482"/>
    <w:rsid w:val="00EC04B0"/>
    <w:rsid w:val="00EC06B7"/>
    <w:rsid w:val="00EC1238"/>
    <w:rsid w:val="00EC2AF9"/>
    <w:rsid w:val="00EC348D"/>
    <w:rsid w:val="00EC432F"/>
    <w:rsid w:val="00EC488C"/>
    <w:rsid w:val="00EC4946"/>
    <w:rsid w:val="00EC4A6C"/>
    <w:rsid w:val="00EC4B07"/>
    <w:rsid w:val="00EC4E41"/>
    <w:rsid w:val="00EC4FA0"/>
    <w:rsid w:val="00EC4FC6"/>
    <w:rsid w:val="00EC4FD6"/>
    <w:rsid w:val="00EC5094"/>
    <w:rsid w:val="00EC586E"/>
    <w:rsid w:val="00EC69CF"/>
    <w:rsid w:val="00EC7181"/>
    <w:rsid w:val="00EC7DEE"/>
    <w:rsid w:val="00ED04E7"/>
    <w:rsid w:val="00ED09F1"/>
    <w:rsid w:val="00ED192F"/>
    <w:rsid w:val="00ED2766"/>
    <w:rsid w:val="00ED3A89"/>
    <w:rsid w:val="00ED3CA7"/>
    <w:rsid w:val="00ED3D40"/>
    <w:rsid w:val="00ED4B97"/>
    <w:rsid w:val="00ED543F"/>
    <w:rsid w:val="00ED577C"/>
    <w:rsid w:val="00ED607F"/>
    <w:rsid w:val="00ED69E3"/>
    <w:rsid w:val="00ED6CC2"/>
    <w:rsid w:val="00ED6E6F"/>
    <w:rsid w:val="00ED7467"/>
    <w:rsid w:val="00ED7BA1"/>
    <w:rsid w:val="00ED7BF4"/>
    <w:rsid w:val="00EE0B0F"/>
    <w:rsid w:val="00EE0FCE"/>
    <w:rsid w:val="00EE1413"/>
    <w:rsid w:val="00EE2175"/>
    <w:rsid w:val="00EE2D20"/>
    <w:rsid w:val="00EE2F40"/>
    <w:rsid w:val="00EE36C1"/>
    <w:rsid w:val="00EE3747"/>
    <w:rsid w:val="00EE39B5"/>
    <w:rsid w:val="00EE4303"/>
    <w:rsid w:val="00EE5564"/>
    <w:rsid w:val="00EE593B"/>
    <w:rsid w:val="00EE5D81"/>
    <w:rsid w:val="00EE773C"/>
    <w:rsid w:val="00EE7A1D"/>
    <w:rsid w:val="00EF035F"/>
    <w:rsid w:val="00EF06A7"/>
    <w:rsid w:val="00EF15F2"/>
    <w:rsid w:val="00EF1D73"/>
    <w:rsid w:val="00EF2B4C"/>
    <w:rsid w:val="00EF2F09"/>
    <w:rsid w:val="00EF36BC"/>
    <w:rsid w:val="00EF4448"/>
    <w:rsid w:val="00EF4859"/>
    <w:rsid w:val="00EF5253"/>
    <w:rsid w:val="00EF5663"/>
    <w:rsid w:val="00EF5FD2"/>
    <w:rsid w:val="00EF658E"/>
    <w:rsid w:val="00EF69E4"/>
    <w:rsid w:val="00EF7339"/>
    <w:rsid w:val="00F00BFE"/>
    <w:rsid w:val="00F0142C"/>
    <w:rsid w:val="00F0272A"/>
    <w:rsid w:val="00F0346C"/>
    <w:rsid w:val="00F03CA0"/>
    <w:rsid w:val="00F0535E"/>
    <w:rsid w:val="00F05B25"/>
    <w:rsid w:val="00F05CAA"/>
    <w:rsid w:val="00F06AD4"/>
    <w:rsid w:val="00F114FF"/>
    <w:rsid w:val="00F119C9"/>
    <w:rsid w:val="00F11D6E"/>
    <w:rsid w:val="00F11F01"/>
    <w:rsid w:val="00F11F33"/>
    <w:rsid w:val="00F125C4"/>
    <w:rsid w:val="00F12F4B"/>
    <w:rsid w:val="00F13003"/>
    <w:rsid w:val="00F132B6"/>
    <w:rsid w:val="00F13C21"/>
    <w:rsid w:val="00F13E3C"/>
    <w:rsid w:val="00F14485"/>
    <w:rsid w:val="00F14F5C"/>
    <w:rsid w:val="00F15550"/>
    <w:rsid w:val="00F15BFA"/>
    <w:rsid w:val="00F15D46"/>
    <w:rsid w:val="00F15E43"/>
    <w:rsid w:val="00F15FB1"/>
    <w:rsid w:val="00F16F70"/>
    <w:rsid w:val="00F17463"/>
    <w:rsid w:val="00F17F1D"/>
    <w:rsid w:val="00F20565"/>
    <w:rsid w:val="00F20F3B"/>
    <w:rsid w:val="00F2103B"/>
    <w:rsid w:val="00F22235"/>
    <w:rsid w:val="00F228B4"/>
    <w:rsid w:val="00F22B0A"/>
    <w:rsid w:val="00F22D35"/>
    <w:rsid w:val="00F22D73"/>
    <w:rsid w:val="00F22F86"/>
    <w:rsid w:val="00F23DA0"/>
    <w:rsid w:val="00F244E9"/>
    <w:rsid w:val="00F247A2"/>
    <w:rsid w:val="00F24CD4"/>
    <w:rsid w:val="00F24F6F"/>
    <w:rsid w:val="00F25258"/>
    <w:rsid w:val="00F252AA"/>
    <w:rsid w:val="00F25CA4"/>
    <w:rsid w:val="00F25D0E"/>
    <w:rsid w:val="00F262ED"/>
    <w:rsid w:val="00F26379"/>
    <w:rsid w:val="00F26AE3"/>
    <w:rsid w:val="00F26C2D"/>
    <w:rsid w:val="00F27017"/>
    <w:rsid w:val="00F27921"/>
    <w:rsid w:val="00F27B17"/>
    <w:rsid w:val="00F306C5"/>
    <w:rsid w:val="00F31152"/>
    <w:rsid w:val="00F31ACA"/>
    <w:rsid w:val="00F32DB5"/>
    <w:rsid w:val="00F3360A"/>
    <w:rsid w:val="00F3444D"/>
    <w:rsid w:val="00F34586"/>
    <w:rsid w:val="00F359D5"/>
    <w:rsid w:val="00F376E4"/>
    <w:rsid w:val="00F37C91"/>
    <w:rsid w:val="00F40044"/>
    <w:rsid w:val="00F40887"/>
    <w:rsid w:val="00F40E63"/>
    <w:rsid w:val="00F41882"/>
    <w:rsid w:val="00F4291D"/>
    <w:rsid w:val="00F42B95"/>
    <w:rsid w:val="00F4338A"/>
    <w:rsid w:val="00F43537"/>
    <w:rsid w:val="00F43E62"/>
    <w:rsid w:val="00F43FA6"/>
    <w:rsid w:val="00F44354"/>
    <w:rsid w:val="00F44980"/>
    <w:rsid w:val="00F44DF0"/>
    <w:rsid w:val="00F44EAB"/>
    <w:rsid w:val="00F451E1"/>
    <w:rsid w:val="00F47796"/>
    <w:rsid w:val="00F477DB"/>
    <w:rsid w:val="00F503E3"/>
    <w:rsid w:val="00F51143"/>
    <w:rsid w:val="00F51449"/>
    <w:rsid w:val="00F51BCB"/>
    <w:rsid w:val="00F52986"/>
    <w:rsid w:val="00F53A27"/>
    <w:rsid w:val="00F53AD4"/>
    <w:rsid w:val="00F53EF7"/>
    <w:rsid w:val="00F53F9A"/>
    <w:rsid w:val="00F54479"/>
    <w:rsid w:val="00F54AF9"/>
    <w:rsid w:val="00F550CF"/>
    <w:rsid w:val="00F56AAD"/>
    <w:rsid w:val="00F57214"/>
    <w:rsid w:val="00F57441"/>
    <w:rsid w:val="00F57A7D"/>
    <w:rsid w:val="00F57C7B"/>
    <w:rsid w:val="00F57CF1"/>
    <w:rsid w:val="00F60032"/>
    <w:rsid w:val="00F60333"/>
    <w:rsid w:val="00F609AD"/>
    <w:rsid w:val="00F615EA"/>
    <w:rsid w:val="00F61711"/>
    <w:rsid w:val="00F6174C"/>
    <w:rsid w:val="00F61807"/>
    <w:rsid w:val="00F61859"/>
    <w:rsid w:val="00F62814"/>
    <w:rsid w:val="00F62AC6"/>
    <w:rsid w:val="00F62C70"/>
    <w:rsid w:val="00F63558"/>
    <w:rsid w:val="00F63F82"/>
    <w:rsid w:val="00F64206"/>
    <w:rsid w:val="00F64244"/>
    <w:rsid w:val="00F64F6E"/>
    <w:rsid w:val="00F657EB"/>
    <w:rsid w:val="00F65BE4"/>
    <w:rsid w:val="00F664E0"/>
    <w:rsid w:val="00F665FC"/>
    <w:rsid w:val="00F66B2A"/>
    <w:rsid w:val="00F670E1"/>
    <w:rsid w:val="00F6720E"/>
    <w:rsid w:val="00F67274"/>
    <w:rsid w:val="00F672AE"/>
    <w:rsid w:val="00F6763E"/>
    <w:rsid w:val="00F67846"/>
    <w:rsid w:val="00F67F18"/>
    <w:rsid w:val="00F70624"/>
    <w:rsid w:val="00F70DF3"/>
    <w:rsid w:val="00F70E61"/>
    <w:rsid w:val="00F72775"/>
    <w:rsid w:val="00F72CCF"/>
    <w:rsid w:val="00F73230"/>
    <w:rsid w:val="00F73467"/>
    <w:rsid w:val="00F759F2"/>
    <w:rsid w:val="00F761B1"/>
    <w:rsid w:val="00F765F4"/>
    <w:rsid w:val="00F7664C"/>
    <w:rsid w:val="00F76CD0"/>
    <w:rsid w:val="00F8099B"/>
    <w:rsid w:val="00F8123E"/>
    <w:rsid w:val="00F8178A"/>
    <w:rsid w:val="00F81E62"/>
    <w:rsid w:val="00F82ED1"/>
    <w:rsid w:val="00F83281"/>
    <w:rsid w:val="00F83BA9"/>
    <w:rsid w:val="00F83D0C"/>
    <w:rsid w:val="00F83F07"/>
    <w:rsid w:val="00F84340"/>
    <w:rsid w:val="00F846A6"/>
    <w:rsid w:val="00F850B6"/>
    <w:rsid w:val="00F85196"/>
    <w:rsid w:val="00F8537E"/>
    <w:rsid w:val="00F85C22"/>
    <w:rsid w:val="00F85DE9"/>
    <w:rsid w:val="00F85FFB"/>
    <w:rsid w:val="00F875F6"/>
    <w:rsid w:val="00F918E2"/>
    <w:rsid w:val="00F9249C"/>
    <w:rsid w:val="00F930DA"/>
    <w:rsid w:val="00F9501B"/>
    <w:rsid w:val="00F95854"/>
    <w:rsid w:val="00F95DAA"/>
    <w:rsid w:val="00F96080"/>
    <w:rsid w:val="00F9613F"/>
    <w:rsid w:val="00F97357"/>
    <w:rsid w:val="00F97451"/>
    <w:rsid w:val="00F9785B"/>
    <w:rsid w:val="00F9785E"/>
    <w:rsid w:val="00F97875"/>
    <w:rsid w:val="00FA0666"/>
    <w:rsid w:val="00FA07AA"/>
    <w:rsid w:val="00FA1535"/>
    <w:rsid w:val="00FA195A"/>
    <w:rsid w:val="00FA19AD"/>
    <w:rsid w:val="00FA2356"/>
    <w:rsid w:val="00FA2603"/>
    <w:rsid w:val="00FA3399"/>
    <w:rsid w:val="00FA38FF"/>
    <w:rsid w:val="00FA3C85"/>
    <w:rsid w:val="00FA3DA9"/>
    <w:rsid w:val="00FA444B"/>
    <w:rsid w:val="00FA46F9"/>
    <w:rsid w:val="00FA56B9"/>
    <w:rsid w:val="00FA7176"/>
    <w:rsid w:val="00FB0EBB"/>
    <w:rsid w:val="00FB11A0"/>
    <w:rsid w:val="00FB1CDE"/>
    <w:rsid w:val="00FB2B18"/>
    <w:rsid w:val="00FB3DDC"/>
    <w:rsid w:val="00FB4455"/>
    <w:rsid w:val="00FB56B0"/>
    <w:rsid w:val="00FB5745"/>
    <w:rsid w:val="00FB58E7"/>
    <w:rsid w:val="00FB5A4A"/>
    <w:rsid w:val="00FB5EA9"/>
    <w:rsid w:val="00FB63C5"/>
    <w:rsid w:val="00FB6608"/>
    <w:rsid w:val="00FB6BF0"/>
    <w:rsid w:val="00FB74A3"/>
    <w:rsid w:val="00FB757C"/>
    <w:rsid w:val="00FB7683"/>
    <w:rsid w:val="00FB78D9"/>
    <w:rsid w:val="00FB7B5C"/>
    <w:rsid w:val="00FC01FA"/>
    <w:rsid w:val="00FC0662"/>
    <w:rsid w:val="00FC0860"/>
    <w:rsid w:val="00FC0D2A"/>
    <w:rsid w:val="00FC11FA"/>
    <w:rsid w:val="00FC32C7"/>
    <w:rsid w:val="00FC331F"/>
    <w:rsid w:val="00FC37A8"/>
    <w:rsid w:val="00FC3DCF"/>
    <w:rsid w:val="00FC4917"/>
    <w:rsid w:val="00FC4A16"/>
    <w:rsid w:val="00FC5904"/>
    <w:rsid w:val="00FC5F4F"/>
    <w:rsid w:val="00FC600C"/>
    <w:rsid w:val="00FC638C"/>
    <w:rsid w:val="00FC63AB"/>
    <w:rsid w:val="00FC6E93"/>
    <w:rsid w:val="00FC7463"/>
    <w:rsid w:val="00FC747B"/>
    <w:rsid w:val="00FD01A6"/>
    <w:rsid w:val="00FD0844"/>
    <w:rsid w:val="00FD1047"/>
    <w:rsid w:val="00FD1306"/>
    <w:rsid w:val="00FD139A"/>
    <w:rsid w:val="00FD1479"/>
    <w:rsid w:val="00FD1AE3"/>
    <w:rsid w:val="00FD35CE"/>
    <w:rsid w:val="00FD3626"/>
    <w:rsid w:val="00FD439C"/>
    <w:rsid w:val="00FD5D0B"/>
    <w:rsid w:val="00FD5FB0"/>
    <w:rsid w:val="00FD6061"/>
    <w:rsid w:val="00FD61DF"/>
    <w:rsid w:val="00FD7426"/>
    <w:rsid w:val="00FD760E"/>
    <w:rsid w:val="00FD76B1"/>
    <w:rsid w:val="00FD7BC9"/>
    <w:rsid w:val="00FE08BB"/>
    <w:rsid w:val="00FE093F"/>
    <w:rsid w:val="00FE15CD"/>
    <w:rsid w:val="00FE24F1"/>
    <w:rsid w:val="00FE2A51"/>
    <w:rsid w:val="00FE2D3B"/>
    <w:rsid w:val="00FE3573"/>
    <w:rsid w:val="00FE3BB9"/>
    <w:rsid w:val="00FE4150"/>
    <w:rsid w:val="00FE5488"/>
    <w:rsid w:val="00FE5873"/>
    <w:rsid w:val="00FE5B96"/>
    <w:rsid w:val="00FE5CFF"/>
    <w:rsid w:val="00FE6896"/>
    <w:rsid w:val="00FE73A9"/>
    <w:rsid w:val="00FE76E7"/>
    <w:rsid w:val="00FE775D"/>
    <w:rsid w:val="00FE7B22"/>
    <w:rsid w:val="00FF0222"/>
    <w:rsid w:val="00FF033A"/>
    <w:rsid w:val="00FF03F2"/>
    <w:rsid w:val="00FF07E1"/>
    <w:rsid w:val="00FF083B"/>
    <w:rsid w:val="00FF1351"/>
    <w:rsid w:val="00FF1BCA"/>
    <w:rsid w:val="00FF1F42"/>
    <w:rsid w:val="00FF22E8"/>
    <w:rsid w:val="00FF2E47"/>
    <w:rsid w:val="00FF30B2"/>
    <w:rsid w:val="00FF369B"/>
    <w:rsid w:val="00FF378B"/>
    <w:rsid w:val="00FF453B"/>
    <w:rsid w:val="00FF46C4"/>
    <w:rsid w:val="00FF46CE"/>
    <w:rsid w:val="00FF4ACD"/>
    <w:rsid w:val="00FF50D1"/>
    <w:rsid w:val="00FF52E1"/>
    <w:rsid w:val="00FF538B"/>
    <w:rsid w:val="00FF58FA"/>
    <w:rsid w:val="00FF5AE1"/>
    <w:rsid w:val="00FF5DA2"/>
    <w:rsid w:val="00FF614B"/>
    <w:rsid w:val="00FF6AC6"/>
    <w:rsid w:val="00FF7412"/>
    <w:rsid w:val="00FF751B"/>
    <w:rsid w:val="00FF7F36"/>
    <w:rsid w:val="0E6C14A8"/>
    <w:rsid w:val="4936379D"/>
    <w:rsid w:val="53DE34C5"/>
    <w:rsid w:val="5E9F58D4"/>
    <w:rsid w:val="706D25AA"/>
    <w:rsid w:val="7FEB278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0" w:semiHidden="0" w:name="heading 3"/>
    <w:lsdException w:qFormat="1" w:uiPriority="9" w:semiHidden="0" w:name="heading 4"/>
    <w:lsdException w:qFormat="1" w:uiPriority="9" w:semiHidden="0" w:name="heading 5"/>
    <w:lsdException w:qFormat="1" w:uiPriority="9" w:semiHidden="0" w:name="heading 6"/>
    <w:lsdException w:qFormat="1" w:uiPriority="9" w:semiHidden="0" w:name="heading 7"/>
    <w:lsdException w:qFormat="1" w:uiPriority="9" w:semiHidden="0" w:name="heading 8"/>
    <w:lsdException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uiPriority="99" w:name="footnote text"/>
    <w:lsdException w:qFormat="1" w:unhideWhenUsed="0" w:uiPriority="99" w:semiHidden="0" w:name="annotation text"/>
    <w:lsdException w:qFormat="1" w:uiPriority="0" w:semiHidden="0" w:name="header"/>
    <w:lsdException w:qFormat="1" w:uiPriority="99" w:semiHidden="0" w:name="footer"/>
    <w:lsdException w:uiPriority="99" w:name="index heading"/>
    <w:lsdException w:qFormat="1" w:uiPriority="0" w:semiHidden="0" w:name="caption"/>
    <w:lsdException w:qFormat="1" w:uiPriority="99" w:semiHidden="0" w:name="table of figures"/>
    <w:lsdException w:uiPriority="99" w:name="envelope address"/>
    <w:lsdException w:uiPriority="99" w:name="envelope return"/>
    <w:lsdException w:uiPriority="99" w:name="footnote reference"/>
    <w:lsdException w:qFormat="1" w:unhideWhenUsed="0" w:uiPriority="99" w:semiHidden="0" w:name="annotation reference"/>
    <w:lsdException w:qFormat="1" w:unhideWhenUsed="0" w:uiPriority="0" w:semiHidden="0" w:name="line number"/>
    <w:lsdException w:qFormat="1"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qFormat="1" w:unhideWhenUsed="0" w:uiPriority="0" w:semiHidden="0"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qFormat="1" w:unhideWhenUsed="0" w:uiPriority="99" w:semiHidden="0"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0" w:semiHidden="0" w:name="Strong"/>
    <w:lsdException w:unhideWhenUsed="0" w:uiPriority="20" w:semiHidden="0" w:name="Emphasis"/>
    <w:lsdException w:qFormat="1" w:uiPriority="99" w:semiHidden="0"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仿宋" w:hAnsi="Times New Roman" w:eastAsia="仿宋" w:cs="Times New Roman"/>
      <w:kern w:val="2"/>
      <w:sz w:val="32"/>
      <w:szCs w:val="28"/>
      <w:lang w:val="en-US" w:eastAsia="zh-CN" w:bidi="ar-SA"/>
    </w:rPr>
  </w:style>
  <w:style w:type="paragraph" w:styleId="2">
    <w:name w:val="heading 1"/>
    <w:basedOn w:val="3"/>
    <w:next w:val="4"/>
    <w:link w:val="48"/>
    <w:qFormat/>
    <w:uiPriority w:val="9"/>
    <w:pPr>
      <w:spacing w:before="160" w:line="360" w:lineRule="auto"/>
      <w:ind w:firstLine="0" w:firstLineChars="0"/>
      <w:outlineLvl w:val="0"/>
    </w:pPr>
    <w:rPr>
      <w:rFonts w:ascii="黑体" w:hAnsi="黑体" w:eastAsia="黑体"/>
      <w:b/>
      <w:szCs w:val="32"/>
    </w:rPr>
  </w:style>
  <w:style w:type="paragraph" w:styleId="5">
    <w:name w:val="heading 2"/>
    <w:basedOn w:val="2"/>
    <w:next w:val="4"/>
    <w:link w:val="49"/>
    <w:unhideWhenUsed/>
    <w:qFormat/>
    <w:uiPriority w:val="9"/>
    <w:pPr>
      <w:outlineLvl w:val="1"/>
    </w:pPr>
    <w:rPr>
      <w:rFonts w:ascii="宋体" w:hAnsi="宋体" w:eastAsia="宋体"/>
      <w:sz w:val="30"/>
      <w:szCs w:val="30"/>
    </w:rPr>
  </w:style>
  <w:style w:type="paragraph" w:styleId="6">
    <w:name w:val="heading 3"/>
    <w:basedOn w:val="7"/>
    <w:next w:val="4"/>
    <w:link w:val="50"/>
    <w:unhideWhenUsed/>
    <w:qFormat/>
    <w:uiPriority w:val="0"/>
    <w:pPr>
      <w:ind w:left="0"/>
    </w:pPr>
    <w:rPr>
      <w:rFonts w:eastAsia="仿宋"/>
      <w:szCs w:val="32"/>
    </w:rPr>
  </w:style>
  <w:style w:type="paragraph" w:styleId="9">
    <w:name w:val="heading 4"/>
    <w:basedOn w:val="1"/>
    <w:next w:val="1"/>
    <w:link w:val="51"/>
    <w:unhideWhenUsed/>
    <w:qFormat/>
    <w:uiPriority w:val="9"/>
    <w:pPr>
      <w:keepNext/>
      <w:keepLines/>
      <w:spacing w:before="280" w:after="290" w:line="376" w:lineRule="auto"/>
      <w:outlineLvl w:val="3"/>
    </w:pPr>
    <w:rPr>
      <w:rFonts w:asciiTheme="majorHAnsi" w:hAnsiTheme="majorHAnsi" w:eastAsiaTheme="majorEastAsia" w:cstheme="majorBidi"/>
      <w:b/>
      <w:bCs/>
    </w:rPr>
  </w:style>
  <w:style w:type="paragraph" w:styleId="10">
    <w:name w:val="heading 5"/>
    <w:basedOn w:val="1"/>
    <w:next w:val="1"/>
    <w:link w:val="52"/>
    <w:unhideWhenUsed/>
    <w:qFormat/>
    <w:uiPriority w:val="9"/>
    <w:pPr>
      <w:keepNext/>
      <w:keepLines/>
      <w:spacing w:before="280" w:after="290" w:line="376" w:lineRule="auto"/>
      <w:outlineLvl w:val="4"/>
    </w:pPr>
    <w:rPr>
      <w:rFonts w:ascii="Times New Roman" w:eastAsia="仿宋_GB2312"/>
      <w:b/>
      <w:bCs/>
    </w:rPr>
  </w:style>
  <w:style w:type="paragraph" w:styleId="11">
    <w:name w:val="heading 6"/>
    <w:basedOn w:val="1"/>
    <w:next w:val="1"/>
    <w:link w:val="53"/>
    <w:unhideWhenUsed/>
    <w:qFormat/>
    <w:uiPriority w:val="9"/>
    <w:pPr>
      <w:keepNext/>
      <w:keepLines/>
      <w:spacing w:before="240" w:after="64" w:line="320" w:lineRule="auto"/>
      <w:outlineLvl w:val="5"/>
    </w:pPr>
    <w:rPr>
      <w:rFonts w:asciiTheme="majorHAnsi" w:hAnsiTheme="majorHAnsi" w:eastAsiaTheme="majorEastAsia" w:cstheme="majorBidi"/>
      <w:b/>
      <w:bCs/>
      <w:sz w:val="24"/>
      <w:szCs w:val="24"/>
    </w:rPr>
  </w:style>
  <w:style w:type="paragraph" w:styleId="12">
    <w:name w:val="heading 7"/>
    <w:basedOn w:val="1"/>
    <w:next w:val="1"/>
    <w:link w:val="54"/>
    <w:unhideWhenUsed/>
    <w:qFormat/>
    <w:uiPriority w:val="9"/>
    <w:pPr>
      <w:keepNext/>
      <w:keepLines/>
      <w:spacing w:before="240" w:after="64" w:line="320" w:lineRule="auto"/>
      <w:outlineLvl w:val="6"/>
    </w:pPr>
    <w:rPr>
      <w:rFonts w:ascii="Times New Roman" w:eastAsia="仿宋_GB2312"/>
      <w:b/>
      <w:bCs/>
      <w:sz w:val="24"/>
      <w:szCs w:val="24"/>
    </w:rPr>
  </w:style>
  <w:style w:type="paragraph" w:styleId="13">
    <w:name w:val="heading 8"/>
    <w:basedOn w:val="1"/>
    <w:next w:val="1"/>
    <w:link w:val="55"/>
    <w:unhideWhenUsed/>
    <w:qFormat/>
    <w:uiPriority w:val="9"/>
    <w:pPr>
      <w:keepNext/>
      <w:keepLines/>
      <w:spacing w:before="240" w:after="64" w:line="320" w:lineRule="auto"/>
      <w:outlineLvl w:val="7"/>
    </w:pPr>
    <w:rPr>
      <w:rFonts w:asciiTheme="majorHAnsi" w:hAnsiTheme="majorHAnsi" w:eastAsiaTheme="majorEastAsia" w:cstheme="majorBidi"/>
      <w:sz w:val="24"/>
      <w:szCs w:val="24"/>
    </w:rPr>
  </w:style>
  <w:style w:type="character" w:default="1" w:styleId="38">
    <w:name w:val="Default Paragraph Font"/>
    <w:semiHidden/>
    <w:unhideWhenUsed/>
    <w:qFormat/>
    <w:uiPriority w:val="1"/>
  </w:style>
  <w:style w:type="table" w:default="1" w:styleId="36">
    <w:name w:val="Normal Table"/>
    <w:semiHidden/>
    <w:unhideWhenUsed/>
    <w:qFormat/>
    <w:uiPriority w:val="99"/>
    <w:tblPr>
      <w:tblCellMar>
        <w:top w:w="0" w:type="dxa"/>
        <w:left w:w="108" w:type="dxa"/>
        <w:bottom w:w="0" w:type="dxa"/>
        <w:right w:w="108" w:type="dxa"/>
      </w:tblCellMar>
    </w:tblPr>
  </w:style>
  <w:style w:type="paragraph" w:styleId="3">
    <w:name w:val="List Paragraph"/>
    <w:basedOn w:val="1"/>
    <w:qFormat/>
    <w:uiPriority w:val="34"/>
    <w:pPr>
      <w:ind w:firstLine="420" w:firstLineChars="200"/>
    </w:pPr>
  </w:style>
  <w:style w:type="paragraph" w:customStyle="1" w:styleId="4">
    <w:name w:val="带缩进正文"/>
    <w:basedOn w:val="1"/>
    <w:qFormat/>
    <w:uiPriority w:val="0"/>
    <w:pPr>
      <w:ind w:firstLine="200" w:firstLineChars="200"/>
    </w:pPr>
  </w:style>
  <w:style w:type="paragraph" w:customStyle="1" w:styleId="7">
    <w:name w:val="标题3"/>
    <w:basedOn w:val="8"/>
    <w:next w:val="8"/>
    <w:qFormat/>
    <w:uiPriority w:val="0"/>
    <w:pPr>
      <w:spacing w:before="120" w:after="120"/>
      <w:ind w:left="1419" w:firstLine="0" w:firstLineChars="0"/>
      <w:outlineLvl w:val="2"/>
    </w:pPr>
    <w:rPr>
      <w:rFonts w:eastAsia="仿宋_GB2312"/>
      <w:b/>
    </w:rPr>
  </w:style>
  <w:style w:type="paragraph" w:customStyle="1" w:styleId="8">
    <w:name w:val="正正文"/>
    <w:basedOn w:val="1"/>
    <w:qFormat/>
    <w:uiPriority w:val="0"/>
    <w:pPr>
      <w:spacing w:line="360" w:lineRule="auto"/>
      <w:ind w:firstLine="200" w:firstLineChars="200"/>
    </w:pPr>
    <w:rPr>
      <w:szCs w:val="24"/>
    </w:rPr>
  </w:style>
  <w:style w:type="paragraph" w:styleId="14">
    <w:name w:val="toc 7"/>
    <w:basedOn w:val="1"/>
    <w:next w:val="1"/>
    <w:unhideWhenUsed/>
    <w:qFormat/>
    <w:uiPriority w:val="39"/>
    <w:pPr>
      <w:ind w:left="1920"/>
      <w:jc w:val="left"/>
    </w:pPr>
    <w:rPr>
      <w:rFonts w:asciiTheme="minorHAnsi" w:eastAsiaTheme="minorHAnsi"/>
      <w:sz w:val="18"/>
      <w:szCs w:val="18"/>
    </w:rPr>
  </w:style>
  <w:style w:type="paragraph" w:styleId="15">
    <w:name w:val="Normal Indent"/>
    <w:basedOn w:val="1"/>
    <w:link w:val="82"/>
    <w:qFormat/>
    <w:uiPriority w:val="0"/>
    <w:pPr>
      <w:adjustRightInd w:val="0"/>
      <w:snapToGrid w:val="0"/>
      <w:spacing w:line="360" w:lineRule="auto"/>
      <w:ind w:firstLine="560" w:firstLineChars="200"/>
    </w:pPr>
    <w:rPr>
      <w:rFonts w:ascii="Times New Roman" w:eastAsia="仿宋_GB2312"/>
    </w:rPr>
  </w:style>
  <w:style w:type="paragraph" w:styleId="16">
    <w:name w:val="caption"/>
    <w:basedOn w:val="1"/>
    <w:next w:val="1"/>
    <w:link w:val="79"/>
    <w:unhideWhenUsed/>
    <w:qFormat/>
    <w:uiPriority w:val="0"/>
    <w:pPr>
      <w:jc w:val="center"/>
    </w:pPr>
    <w:rPr>
      <w:rFonts w:eastAsia="黑体" w:asciiTheme="majorHAnsi" w:hAnsiTheme="majorHAnsi" w:cstheme="majorBidi"/>
      <w:sz w:val="24"/>
      <w:szCs w:val="20"/>
    </w:rPr>
  </w:style>
  <w:style w:type="paragraph" w:styleId="17">
    <w:name w:val="Document Map"/>
    <w:basedOn w:val="1"/>
    <w:link w:val="57"/>
    <w:unhideWhenUsed/>
    <w:qFormat/>
    <w:uiPriority w:val="99"/>
    <w:rPr>
      <w:rFonts w:ascii="Times New Roman" w:eastAsiaTheme="minorEastAsia"/>
      <w:sz w:val="24"/>
      <w:szCs w:val="24"/>
    </w:rPr>
  </w:style>
  <w:style w:type="paragraph" w:styleId="18">
    <w:name w:val="annotation text"/>
    <w:basedOn w:val="1"/>
    <w:link w:val="46"/>
    <w:qFormat/>
    <w:uiPriority w:val="99"/>
    <w:pPr>
      <w:jc w:val="left"/>
    </w:pPr>
    <w:rPr>
      <w:rFonts w:ascii="Times New Roman" w:eastAsiaTheme="minorEastAsia" w:cstheme="minorBidi"/>
      <w:szCs w:val="24"/>
    </w:rPr>
  </w:style>
  <w:style w:type="paragraph" w:styleId="19">
    <w:name w:val="Body Text 3"/>
    <w:next w:val="1"/>
    <w:link w:val="58"/>
    <w:qFormat/>
    <w:uiPriority w:val="99"/>
    <w:pPr>
      <w:keepNext/>
      <w:spacing w:afterLines="50"/>
      <w:jc w:val="center"/>
    </w:pPr>
    <w:rPr>
      <w:rFonts w:ascii="Times New Roman" w:hAnsi="Times New Roman" w:eastAsia="黑体" w:cs="Times New Roman"/>
      <w:kern w:val="2"/>
      <w:sz w:val="24"/>
      <w:szCs w:val="16"/>
      <w:lang w:val="en-US" w:eastAsia="zh-CN" w:bidi="ar-SA"/>
    </w:rPr>
  </w:style>
  <w:style w:type="paragraph" w:styleId="20">
    <w:name w:val="Body Text"/>
    <w:basedOn w:val="1"/>
    <w:link w:val="59"/>
    <w:unhideWhenUsed/>
    <w:qFormat/>
    <w:uiPriority w:val="99"/>
    <w:pPr>
      <w:spacing w:after="120"/>
    </w:pPr>
    <w:rPr>
      <w:rFonts w:ascii="Times New Roman" w:eastAsia="仿宋_GB2312"/>
      <w:szCs w:val="24"/>
    </w:rPr>
  </w:style>
  <w:style w:type="paragraph" w:styleId="21">
    <w:name w:val="List Bullet 2"/>
    <w:basedOn w:val="1"/>
    <w:qFormat/>
    <w:uiPriority w:val="0"/>
    <w:pPr>
      <w:tabs>
        <w:tab w:val="left" w:pos="0"/>
      </w:tabs>
      <w:autoSpaceDE w:val="0"/>
      <w:autoSpaceDN w:val="0"/>
      <w:adjustRightInd w:val="0"/>
      <w:snapToGrid w:val="0"/>
      <w:spacing w:line="360" w:lineRule="auto"/>
      <w:ind w:hanging="420" w:firstLineChars="200"/>
      <w:contextualSpacing/>
      <w:jc w:val="left"/>
    </w:pPr>
    <w:rPr>
      <w:rFonts w:ascii="Times New Roman" w:eastAsia="宋体" w:cstheme="minorBidi"/>
      <w:sz w:val="24"/>
      <w:szCs w:val="21"/>
    </w:rPr>
  </w:style>
  <w:style w:type="paragraph" w:styleId="22">
    <w:name w:val="toc 5"/>
    <w:basedOn w:val="1"/>
    <w:next w:val="1"/>
    <w:unhideWhenUsed/>
    <w:qFormat/>
    <w:uiPriority w:val="39"/>
    <w:pPr>
      <w:ind w:left="1280"/>
      <w:jc w:val="left"/>
    </w:pPr>
    <w:rPr>
      <w:rFonts w:asciiTheme="minorHAnsi" w:eastAsiaTheme="minorHAnsi"/>
      <w:sz w:val="18"/>
      <w:szCs w:val="18"/>
    </w:rPr>
  </w:style>
  <w:style w:type="paragraph" w:styleId="23">
    <w:name w:val="toc 3"/>
    <w:basedOn w:val="1"/>
    <w:next w:val="1"/>
    <w:unhideWhenUsed/>
    <w:qFormat/>
    <w:uiPriority w:val="39"/>
    <w:pPr>
      <w:ind w:left="640"/>
      <w:jc w:val="left"/>
    </w:pPr>
    <w:rPr>
      <w:rFonts w:asciiTheme="minorHAnsi" w:eastAsiaTheme="minorHAnsi"/>
      <w:i/>
      <w:iCs/>
      <w:sz w:val="20"/>
      <w:szCs w:val="20"/>
    </w:rPr>
  </w:style>
  <w:style w:type="paragraph" w:styleId="24">
    <w:name w:val="toc 8"/>
    <w:basedOn w:val="1"/>
    <w:next w:val="1"/>
    <w:unhideWhenUsed/>
    <w:qFormat/>
    <w:uiPriority w:val="39"/>
    <w:pPr>
      <w:ind w:left="2240"/>
      <w:jc w:val="left"/>
    </w:pPr>
    <w:rPr>
      <w:rFonts w:asciiTheme="minorHAnsi" w:eastAsiaTheme="minorHAnsi"/>
      <w:sz w:val="18"/>
      <w:szCs w:val="18"/>
    </w:rPr>
  </w:style>
  <w:style w:type="paragraph" w:styleId="25">
    <w:name w:val="Balloon Text"/>
    <w:basedOn w:val="1"/>
    <w:link w:val="47"/>
    <w:unhideWhenUsed/>
    <w:qFormat/>
    <w:uiPriority w:val="99"/>
    <w:rPr>
      <w:rFonts w:ascii="宋体" w:eastAsia="宋体"/>
      <w:sz w:val="18"/>
      <w:szCs w:val="18"/>
    </w:rPr>
  </w:style>
  <w:style w:type="paragraph" w:styleId="26">
    <w:name w:val="footer"/>
    <w:basedOn w:val="1"/>
    <w:link w:val="45"/>
    <w:unhideWhenUsed/>
    <w:qFormat/>
    <w:uiPriority w:val="99"/>
    <w:pPr>
      <w:tabs>
        <w:tab w:val="center" w:pos="4153"/>
        <w:tab w:val="right" w:pos="8306"/>
      </w:tabs>
      <w:snapToGrid w:val="0"/>
      <w:jc w:val="left"/>
    </w:pPr>
    <w:rPr>
      <w:sz w:val="18"/>
      <w:szCs w:val="18"/>
    </w:rPr>
  </w:style>
  <w:style w:type="paragraph" w:styleId="27">
    <w:name w:val="header"/>
    <w:basedOn w:val="1"/>
    <w:link w:val="44"/>
    <w:unhideWhenUsed/>
    <w:qFormat/>
    <w:uiPriority w:val="0"/>
    <w:pPr>
      <w:pBdr>
        <w:bottom w:val="single" w:color="auto" w:sz="6" w:space="1"/>
      </w:pBdr>
      <w:tabs>
        <w:tab w:val="center" w:pos="4153"/>
        <w:tab w:val="right" w:pos="8306"/>
      </w:tabs>
      <w:snapToGrid w:val="0"/>
      <w:jc w:val="center"/>
    </w:pPr>
    <w:rPr>
      <w:sz w:val="18"/>
      <w:szCs w:val="18"/>
    </w:rPr>
  </w:style>
  <w:style w:type="paragraph" w:styleId="28">
    <w:name w:val="toc 1"/>
    <w:basedOn w:val="1"/>
    <w:next w:val="1"/>
    <w:unhideWhenUsed/>
    <w:qFormat/>
    <w:uiPriority w:val="39"/>
    <w:pPr>
      <w:tabs>
        <w:tab w:val="right" w:leader="dot" w:pos="8290"/>
      </w:tabs>
      <w:spacing w:line="400" w:lineRule="exact"/>
      <w:jc w:val="left"/>
    </w:pPr>
    <w:rPr>
      <w:rFonts w:asciiTheme="minorHAnsi" w:eastAsiaTheme="minorHAnsi"/>
      <w:b/>
      <w:bCs/>
      <w:caps/>
      <w:sz w:val="20"/>
      <w:szCs w:val="20"/>
    </w:rPr>
  </w:style>
  <w:style w:type="paragraph" w:styleId="29">
    <w:name w:val="toc 4"/>
    <w:basedOn w:val="1"/>
    <w:next w:val="1"/>
    <w:unhideWhenUsed/>
    <w:qFormat/>
    <w:uiPriority w:val="39"/>
    <w:pPr>
      <w:ind w:left="960"/>
      <w:jc w:val="left"/>
    </w:pPr>
    <w:rPr>
      <w:rFonts w:asciiTheme="minorHAnsi" w:eastAsiaTheme="minorHAnsi"/>
      <w:sz w:val="18"/>
      <w:szCs w:val="18"/>
    </w:rPr>
  </w:style>
  <w:style w:type="paragraph" w:styleId="30">
    <w:name w:val="toc 6"/>
    <w:basedOn w:val="1"/>
    <w:next w:val="1"/>
    <w:unhideWhenUsed/>
    <w:qFormat/>
    <w:uiPriority w:val="39"/>
    <w:pPr>
      <w:ind w:left="1600"/>
      <w:jc w:val="left"/>
    </w:pPr>
    <w:rPr>
      <w:rFonts w:asciiTheme="minorHAnsi" w:eastAsiaTheme="minorHAnsi"/>
      <w:sz w:val="18"/>
      <w:szCs w:val="18"/>
    </w:rPr>
  </w:style>
  <w:style w:type="paragraph" w:styleId="31">
    <w:name w:val="table of figures"/>
    <w:basedOn w:val="1"/>
    <w:next w:val="1"/>
    <w:unhideWhenUsed/>
    <w:qFormat/>
    <w:uiPriority w:val="99"/>
    <w:pPr>
      <w:ind w:left="640" w:hanging="640"/>
      <w:jc w:val="left"/>
    </w:pPr>
    <w:rPr>
      <w:rFonts w:asciiTheme="minorHAnsi" w:eastAsiaTheme="minorHAnsi"/>
      <w:smallCaps/>
      <w:sz w:val="20"/>
      <w:szCs w:val="20"/>
    </w:rPr>
  </w:style>
  <w:style w:type="paragraph" w:styleId="32">
    <w:name w:val="toc 2"/>
    <w:basedOn w:val="1"/>
    <w:next w:val="1"/>
    <w:unhideWhenUsed/>
    <w:qFormat/>
    <w:uiPriority w:val="39"/>
    <w:pPr>
      <w:ind w:left="320"/>
      <w:jc w:val="left"/>
    </w:pPr>
    <w:rPr>
      <w:rFonts w:asciiTheme="minorHAnsi" w:eastAsiaTheme="minorHAnsi"/>
      <w:smallCaps/>
      <w:sz w:val="20"/>
      <w:szCs w:val="20"/>
    </w:rPr>
  </w:style>
  <w:style w:type="paragraph" w:styleId="33">
    <w:name w:val="toc 9"/>
    <w:basedOn w:val="1"/>
    <w:next w:val="1"/>
    <w:unhideWhenUsed/>
    <w:qFormat/>
    <w:uiPriority w:val="39"/>
    <w:pPr>
      <w:ind w:left="2560"/>
      <w:jc w:val="left"/>
    </w:pPr>
    <w:rPr>
      <w:rFonts w:asciiTheme="minorHAnsi" w:eastAsiaTheme="minorHAnsi"/>
      <w:sz w:val="18"/>
      <w:szCs w:val="18"/>
    </w:rPr>
  </w:style>
  <w:style w:type="paragraph" w:styleId="34">
    <w:name w:val="Normal (Web)"/>
    <w:basedOn w:val="1"/>
    <w:unhideWhenUsed/>
    <w:qFormat/>
    <w:uiPriority w:val="99"/>
    <w:pPr>
      <w:widowControl/>
      <w:spacing w:before="100" w:beforeAutospacing="1" w:after="100" w:afterAutospacing="1"/>
      <w:jc w:val="left"/>
    </w:pPr>
    <w:rPr>
      <w:rFonts w:ascii="宋体" w:hAnsi="宋体" w:eastAsia="仿宋_GB2312" w:cs="宋体"/>
      <w:kern w:val="0"/>
      <w:sz w:val="24"/>
      <w:szCs w:val="24"/>
    </w:rPr>
  </w:style>
  <w:style w:type="paragraph" w:styleId="35">
    <w:name w:val="annotation subject"/>
    <w:basedOn w:val="18"/>
    <w:next w:val="18"/>
    <w:link w:val="56"/>
    <w:unhideWhenUsed/>
    <w:qFormat/>
    <w:uiPriority w:val="99"/>
    <w:rPr>
      <w:rFonts w:eastAsia="宋体" w:cs="Times New Roman"/>
      <w:b/>
      <w:bCs/>
    </w:rPr>
  </w:style>
  <w:style w:type="table" w:styleId="37">
    <w:name w:val="Table Grid"/>
    <w:basedOn w:val="36"/>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9">
    <w:name w:val="Strong"/>
    <w:basedOn w:val="38"/>
    <w:qFormat/>
    <w:uiPriority w:val="0"/>
    <w:rPr>
      <w:b/>
      <w:bCs/>
    </w:rPr>
  </w:style>
  <w:style w:type="character" w:styleId="40">
    <w:name w:val="page number"/>
    <w:basedOn w:val="38"/>
    <w:semiHidden/>
    <w:unhideWhenUsed/>
    <w:qFormat/>
    <w:uiPriority w:val="99"/>
  </w:style>
  <w:style w:type="character" w:styleId="41">
    <w:name w:val="line number"/>
    <w:qFormat/>
    <w:uiPriority w:val="0"/>
  </w:style>
  <w:style w:type="character" w:styleId="42">
    <w:name w:val="Hyperlink"/>
    <w:basedOn w:val="38"/>
    <w:unhideWhenUsed/>
    <w:qFormat/>
    <w:uiPriority w:val="99"/>
    <w:rPr>
      <w:color w:val="0563C1" w:themeColor="hyperlink"/>
      <w:u w:val="single"/>
      <w14:textFill>
        <w14:solidFill>
          <w14:schemeClr w14:val="hlink"/>
        </w14:solidFill>
      </w14:textFill>
    </w:rPr>
  </w:style>
  <w:style w:type="character" w:styleId="43">
    <w:name w:val="annotation reference"/>
    <w:qFormat/>
    <w:uiPriority w:val="99"/>
    <w:rPr>
      <w:sz w:val="21"/>
      <w:szCs w:val="21"/>
    </w:rPr>
  </w:style>
  <w:style w:type="character" w:customStyle="1" w:styleId="44">
    <w:name w:val="页眉 Char"/>
    <w:basedOn w:val="38"/>
    <w:link w:val="27"/>
    <w:qFormat/>
    <w:uiPriority w:val="0"/>
    <w:rPr>
      <w:rFonts w:ascii="仿宋" w:hAnsi="Times New Roman" w:eastAsia="仿宋" w:cs="Times New Roman"/>
      <w:sz w:val="18"/>
      <w:szCs w:val="18"/>
    </w:rPr>
  </w:style>
  <w:style w:type="character" w:customStyle="1" w:styleId="45">
    <w:name w:val="页脚 Char"/>
    <w:basedOn w:val="38"/>
    <w:link w:val="26"/>
    <w:qFormat/>
    <w:uiPriority w:val="99"/>
    <w:rPr>
      <w:rFonts w:ascii="仿宋" w:hAnsi="Times New Roman" w:eastAsia="仿宋" w:cs="Times New Roman"/>
      <w:sz w:val="18"/>
      <w:szCs w:val="18"/>
    </w:rPr>
  </w:style>
  <w:style w:type="character" w:customStyle="1" w:styleId="46">
    <w:name w:val="批注文字 Char"/>
    <w:basedOn w:val="38"/>
    <w:link w:val="18"/>
    <w:qFormat/>
    <w:uiPriority w:val="99"/>
    <w:rPr>
      <w:rFonts w:ascii="Times New Roman" w:hAnsi="Times New Roman"/>
      <w:sz w:val="32"/>
    </w:rPr>
  </w:style>
  <w:style w:type="character" w:customStyle="1" w:styleId="47">
    <w:name w:val="批注框文本 Char"/>
    <w:basedOn w:val="38"/>
    <w:link w:val="25"/>
    <w:qFormat/>
    <w:uiPriority w:val="99"/>
    <w:rPr>
      <w:rFonts w:ascii="宋体" w:hAnsi="Times New Roman" w:eastAsia="宋体" w:cs="Times New Roman"/>
      <w:sz w:val="18"/>
      <w:szCs w:val="18"/>
    </w:rPr>
  </w:style>
  <w:style w:type="character" w:customStyle="1" w:styleId="48">
    <w:name w:val="标题 1 Char"/>
    <w:basedOn w:val="38"/>
    <w:link w:val="2"/>
    <w:qFormat/>
    <w:uiPriority w:val="0"/>
    <w:rPr>
      <w:rFonts w:ascii="黑体" w:hAnsi="黑体" w:eastAsia="黑体" w:cs="Times New Roman"/>
      <w:b/>
      <w:sz w:val="32"/>
      <w:szCs w:val="32"/>
    </w:rPr>
  </w:style>
  <w:style w:type="character" w:customStyle="1" w:styleId="49">
    <w:name w:val="标题 2 Char"/>
    <w:basedOn w:val="38"/>
    <w:link w:val="5"/>
    <w:qFormat/>
    <w:uiPriority w:val="9"/>
    <w:rPr>
      <w:rFonts w:ascii="宋体" w:hAnsi="宋体" w:eastAsia="宋体" w:cs="Times New Roman"/>
      <w:b/>
      <w:sz w:val="30"/>
      <w:szCs w:val="30"/>
    </w:rPr>
  </w:style>
  <w:style w:type="character" w:customStyle="1" w:styleId="50">
    <w:name w:val="标题 3 Char"/>
    <w:basedOn w:val="38"/>
    <w:link w:val="6"/>
    <w:qFormat/>
    <w:uiPriority w:val="0"/>
    <w:rPr>
      <w:rFonts w:ascii="仿宋" w:hAnsi="Times New Roman" w:eastAsia="仿宋" w:cs="Times New Roman"/>
      <w:b/>
      <w:sz w:val="32"/>
      <w:szCs w:val="32"/>
    </w:rPr>
  </w:style>
  <w:style w:type="character" w:customStyle="1" w:styleId="51">
    <w:name w:val="标题 4 Char"/>
    <w:basedOn w:val="38"/>
    <w:link w:val="9"/>
    <w:qFormat/>
    <w:uiPriority w:val="9"/>
    <w:rPr>
      <w:rFonts w:asciiTheme="majorHAnsi" w:hAnsiTheme="majorHAnsi" w:eastAsiaTheme="majorEastAsia" w:cstheme="majorBidi"/>
      <w:b/>
      <w:bCs/>
      <w:sz w:val="28"/>
      <w:szCs w:val="28"/>
    </w:rPr>
  </w:style>
  <w:style w:type="character" w:customStyle="1" w:styleId="52">
    <w:name w:val="标题 5 Char"/>
    <w:basedOn w:val="38"/>
    <w:link w:val="10"/>
    <w:qFormat/>
    <w:uiPriority w:val="9"/>
    <w:rPr>
      <w:rFonts w:ascii="Times New Roman" w:hAnsi="Times New Roman" w:eastAsia="仿宋_GB2312" w:cs="Times New Roman"/>
      <w:b/>
      <w:bCs/>
      <w:sz w:val="28"/>
      <w:szCs w:val="28"/>
    </w:rPr>
  </w:style>
  <w:style w:type="character" w:customStyle="1" w:styleId="53">
    <w:name w:val="标题 6 Char"/>
    <w:basedOn w:val="38"/>
    <w:link w:val="11"/>
    <w:qFormat/>
    <w:uiPriority w:val="9"/>
    <w:rPr>
      <w:rFonts w:asciiTheme="majorHAnsi" w:hAnsiTheme="majorHAnsi" w:eastAsiaTheme="majorEastAsia" w:cstheme="majorBidi"/>
      <w:b/>
      <w:bCs/>
      <w:sz w:val="24"/>
    </w:rPr>
  </w:style>
  <w:style w:type="character" w:customStyle="1" w:styleId="54">
    <w:name w:val="标题 7 Char"/>
    <w:basedOn w:val="38"/>
    <w:link w:val="12"/>
    <w:qFormat/>
    <w:uiPriority w:val="9"/>
    <w:rPr>
      <w:rFonts w:ascii="Times New Roman" w:hAnsi="Times New Roman" w:eastAsia="仿宋_GB2312" w:cs="Times New Roman"/>
      <w:b/>
      <w:bCs/>
      <w:sz w:val="24"/>
    </w:rPr>
  </w:style>
  <w:style w:type="character" w:customStyle="1" w:styleId="55">
    <w:name w:val="标题 8 Char"/>
    <w:basedOn w:val="38"/>
    <w:link w:val="13"/>
    <w:qFormat/>
    <w:uiPriority w:val="9"/>
    <w:rPr>
      <w:rFonts w:asciiTheme="majorHAnsi" w:hAnsiTheme="majorHAnsi" w:eastAsiaTheme="majorEastAsia" w:cstheme="majorBidi"/>
      <w:sz w:val="24"/>
    </w:rPr>
  </w:style>
  <w:style w:type="character" w:customStyle="1" w:styleId="56">
    <w:name w:val="批注主题 Char"/>
    <w:basedOn w:val="46"/>
    <w:link w:val="35"/>
    <w:qFormat/>
    <w:uiPriority w:val="99"/>
    <w:rPr>
      <w:rFonts w:ascii="Times New Roman" w:hAnsi="Times New Roman" w:eastAsia="宋体" w:cs="Times New Roman"/>
      <w:b/>
      <w:bCs/>
      <w:sz w:val="32"/>
    </w:rPr>
  </w:style>
  <w:style w:type="character" w:customStyle="1" w:styleId="57">
    <w:name w:val="文档结构图 Char"/>
    <w:basedOn w:val="38"/>
    <w:link w:val="17"/>
    <w:qFormat/>
    <w:uiPriority w:val="99"/>
    <w:rPr>
      <w:rFonts w:ascii="Times New Roman" w:hAnsi="Times New Roman" w:cs="Times New Roman"/>
      <w:sz w:val="24"/>
    </w:rPr>
  </w:style>
  <w:style w:type="character" w:customStyle="1" w:styleId="58">
    <w:name w:val="正文文本 3 Char"/>
    <w:basedOn w:val="38"/>
    <w:link w:val="19"/>
    <w:qFormat/>
    <w:uiPriority w:val="99"/>
    <w:rPr>
      <w:rFonts w:ascii="Times New Roman" w:hAnsi="Times New Roman" w:eastAsia="黑体" w:cs="Times New Roman"/>
      <w:sz w:val="24"/>
      <w:szCs w:val="16"/>
    </w:rPr>
  </w:style>
  <w:style w:type="character" w:customStyle="1" w:styleId="59">
    <w:name w:val="正文文本 Char"/>
    <w:basedOn w:val="38"/>
    <w:link w:val="20"/>
    <w:qFormat/>
    <w:uiPriority w:val="99"/>
    <w:rPr>
      <w:rFonts w:ascii="Times New Roman" w:hAnsi="Times New Roman" w:eastAsia="仿宋_GB2312" w:cs="Times New Roman"/>
      <w:sz w:val="32"/>
    </w:rPr>
  </w:style>
  <w:style w:type="paragraph" w:customStyle="1" w:styleId="60">
    <w:name w:val="列表段落1"/>
    <w:basedOn w:val="1"/>
    <w:link w:val="61"/>
    <w:qFormat/>
    <w:uiPriority w:val="34"/>
    <w:pPr>
      <w:ind w:firstLine="420" w:firstLineChars="200"/>
    </w:pPr>
    <w:rPr>
      <w:rFonts w:ascii="Times New Roman" w:eastAsia="仿宋_GB2312"/>
      <w:szCs w:val="24"/>
    </w:rPr>
  </w:style>
  <w:style w:type="character" w:customStyle="1" w:styleId="61">
    <w:name w:val="列表段落 字符"/>
    <w:link w:val="60"/>
    <w:qFormat/>
    <w:locked/>
    <w:uiPriority w:val="34"/>
    <w:rPr>
      <w:rFonts w:ascii="Times New Roman" w:hAnsi="Times New Roman" w:eastAsia="仿宋_GB2312" w:cs="Times New Roman"/>
      <w:sz w:val="32"/>
    </w:rPr>
  </w:style>
  <w:style w:type="paragraph" w:customStyle="1" w:styleId="62">
    <w:name w:val="列出段落1"/>
    <w:basedOn w:val="63"/>
    <w:qFormat/>
    <w:uiPriority w:val="34"/>
    <w:pPr>
      <w:ind w:firstLine="420" w:firstLineChars="200"/>
    </w:pPr>
    <w:rPr>
      <w:rFonts w:ascii="Calibri" w:hAnsi="Calibri"/>
      <w:szCs w:val="22"/>
    </w:rPr>
  </w:style>
  <w:style w:type="paragraph" w:customStyle="1" w:styleId="63">
    <w:name w:val="正常"/>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64">
    <w:name w:val="批注文字 Char1"/>
    <w:basedOn w:val="38"/>
    <w:semiHidden/>
    <w:qFormat/>
    <w:uiPriority w:val="99"/>
    <w:rPr>
      <w:rFonts w:ascii="Times New Roman" w:hAnsi="Times New Roman" w:eastAsia="宋体" w:cs="Times New Roman"/>
      <w:szCs w:val="24"/>
    </w:rPr>
  </w:style>
  <w:style w:type="paragraph" w:customStyle="1" w:styleId="65">
    <w:name w:val="图表居中"/>
    <w:basedOn w:val="8"/>
    <w:qFormat/>
    <w:uiPriority w:val="0"/>
    <w:pPr>
      <w:spacing w:before="60" w:after="60"/>
      <w:ind w:firstLine="0" w:firstLineChars="0"/>
      <w:jc w:val="center"/>
    </w:pPr>
  </w:style>
  <w:style w:type="paragraph" w:customStyle="1" w:styleId="66">
    <w:name w:val="图表标题"/>
    <w:basedOn w:val="65"/>
    <w:next w:val="8"/>
    <w:qFormat/>
    <w:uiPriority w:val="0"/>
    <w:pPr>
      <w:spacing w:before="0"/>
    </w:pPr>
    <w:rPr>
      <w:rFonts w:ascii="宋体" w:hAnsi="宋体" w:eastAsia="宋体"/>
      <w:b/>
      <w:sz w:val="21"/>
      <w:szCs w:val="21"/>
    </w:rPr>
  </w:style>
  <w:style w:type="paragraph" w:customStyle="1" w:styleId="67">
    <w:name w:val="正正正文"/>
    <w:basedOn w:val="1"/>
    <w:qFormat/>
    <w:uiPriority w:val="0"/>
    <w:pPr>
      <w:spacing w:line="360" w:lineRule="auto"/>
      <w:ind w:firstLine="200" w:firstLineChars="200"/>
      <w:contextualSpacing/>
    </w:pPr>
    <w:rPr>
      <w:rFonts w:hAnsi="宋体"/>
      <w:sz w:val="30"/>
      <w:szCs w:val="24"/>
    </w:rPr>
  </w:style>
  <w:style w:type="paragraph" w:customStyle="1" w:styleId="68">
    <w:name w:val="正正文--正文"/>
    <w:basedOn w:val="1"/>
    <w:qFormat/>
    <w:uiPriority w:val="0"/>
    <w:pPr>
      <w:spacing w:line="560" w:lineRule="exact"/>
      <w:ind w:firstLine="200" w:firstLineChars="200"/>
    </w:pPr>
    <w:rPr>
      <w:rFonts w:ascii="Arial" w:hAnsi="Arial"/>
    </w:rPr>
  </w:style>
  <w:style w:type="character" w:customStyle="1" w:styleId="69">
    <w:name w:val="sony12"/>
    <w:qFormat/>
    <w:uiPriority w:val="0"/>
  </w:style>
  <w:style w:type="paragraph" w:customStyle="1" w:styleId="70">
    <w:name w:val="图文文字"/>
    <w:basedOn w:val="1"/>
    <w:qFormat/>
    <w:uiPriority w:val="99"/>
    <w:pPr>
      <w:numPr>
        <w:ilvl w:val="0"/>
        <w:numId w:val="1"/>
      </w:numPr>
      <w:spacing w:line="240" w:lineRule="exact"/>
      <w:ind w:left="0" w:firstLine="0"/>
      <w:jc w:val="center"/>
    </w:pPr>
    <w:rPr>
      <w:rFonts w:ascii="Times New Roman" w:eastAsia="仿宋_GB2312"/>
      <w:sz w:val="24"/>
      <w:szCs w:val="24"/>
    </w:rPr>
  </w:style>
  <w:style w:type="character" w:customStyle="1" w:styleId="71">
    <w:name w:val="txt6"/>
    <w:qFormat/>
    <w:uiPriority w:val="0"/>
    <w:rPr>
      <w:color w:val="999999"/>
    </w:rPr>
  </w:style>
  <w:style w:type="paragraph" w:customStyle="1" w:styleId="72">
    <w:name w:val="正文内容"/>
    <w:basedOn w:val="1"/>
    <w:link w:val="73"/>
    <w:qFormat/>
    <w:uiPriority w:val="0"/>
    <w:pPr>
      <w:spacing w:line="360" w:lineRule="auto"/>
      <w:ind w:firstLine="480"/>
    </w:pPr>
    <w:rPr>
      <w:rFonts w:ascii="Times New Roman" w:eastAsia="仿宋_GB2312"/>
      <w:kern w:val="0"/>
      <w:sz w:val="24"/>
      <w:szCs w:val="24"/>
    </w:rPr>
  </w:style>
  <w:style w:type="character" w:customStyle="1" w:styleId="73">
    <w:name w:val="正文内容 Char"/>
    <w:link w:val="72"/>
    <w:qFormat/>
    <w:uiPriority w:val="0"/>
    <w:rPr>
      <w:rFonts w:ascii="Times New Roman" w:hAnsi="Times New Roman" w:eastAsia="仿宋_GB2312" w:cs="Times New Roman"/>
      <w:kern w:val="0"/>
      <w:sz w:val="24"/>
    </w:rPr>
  </w:style>
  <w:style w:type="paragraph" w:customStyle="1" w:styleId="74">
    <w:name w:val="表内文字居左"/>
    <w:basedOn w:val="1"/>
    <w:qFormat/>
    <w:uiPriority w:val="0"/>
    <w:rPr>
      <w:rFonts w:ascii="宋体" w:hAnsi="宋体" w:eastAsia="宋体"/>
      <w:sz w:val="24"/>
      <w:szCs w:val="24"/>
    </w:rPr>
  </w:style>
  <w:style w:type="paragraph" w:customStyle="1" w:styleId="75">
    <w:name w:val="图表中文字"/>
    <w:basedOn w:val="65"/>
    <w:qFormat/>
    <w:uiPriority w:val="0"/>
    <w:pPr>
      <w:spacing w:before="0" w:after="0" w:line="240" w:lineRule="auto"/>
      <w:jc w:val="both"/>
    </w:pPr>
    <w:rPr>
      <w:rFonts w:ascii="Times New Roman"/>
      <w:sz w:val="24"/>
    </w:rPr>
  </w:style>
  <w:style w:type="paragraph" w:customStyle="1" w:styleId="76">
    <w:name w:val="插图居中"/>
    <w:next w:val="1"/>
    <w:qFormat/>
    <w:uiPriority w:val="0"/>
    <w:pPr>
      <w:spacing w:beforeLines="50" w:afterLines="50" w:line="360" w:lineRule="auto"/>
      <w:jc w:val="center"/>
    </w:pPr>
    <w:rPr>
      <w:rFonts w:ascii="Times New Roman" w:hAnsi="Times New Roman" w:eastAsia="宋体" w:cs="Times New Roman"/>
      <w:kern w:val="2"/>
      <w:sz w:val="24"/>
      <w:szCs w:val="24"/>
      <w:lang w:val="en-US" w:eastAsia="zh-CN" w:bidi="ar-SA"/>
    </w:rPr>
  </w:style>
  <w:style w:type="character" w:customStyle="1" w:styleId="77">
    <w:name w:val="标书正文:  0.74 厘米 Char Char"/>
    <w:link w:val="78"/>
    <w:qFormat/>
    <w:uiPriority w:val="0"/>
    <w:rPr>
      <w:rFonts w:cs="宋体"/>
      <w:sz w:val="24"/>
    </w:rPr>
  </w:style>
  <w:style w:type="paragraph" w:customStyle="1" w:styleId="78">
    <w:name w:val="标书正文:  0.74 厘米"/>
    <w:basedOn w:val="1"/>
    <w:link w:val="77"/>
    <w:qFormat/>
    <w:uiPriority w:val="0"/>
    <w:pPr>
      <w:snapToGrid w:val="0"/>
      <w:spacing w:line="360" w:lineRule="auto"/>
      <w:ind w:firstLine="420"/>
    </w:pPr>
    <w:rPr>
      <w:rFonts w:cs="宋体" w:asciiTheme="minorHAnsi" w:hAnsiTheme="minorHAnsi" w:eastAsiaTheme="minorEastAsia"/>
      <w:sz w:val="24"/>
      <w:szCs w:val="24"/>
    </w:rPr>
  </w:style>
  <w:style w:type="character" w:customStyle="1" w:styleId="79">
    <w:name w:val="题注 Char"/>
    <w:link w:val="16"/>
    <w:qFormat/>
    <w:uiPriority w:val="0"/>
    <w:rPr>
      <w:rFonts w:eastAsia="黑体" w:asciiTheme="majorHAnsi" w:hAnsiTheme="majorHAnsi" w:cstheme="majorBidi"/>
      <w:sz w:val="24"/>
      <w:szCs w:val="20"/>
    </w:rPr>
  </w:style>
  <w:style w:type="paragraph" w:customStyle="1" w:styleId="80">
    <w:name w:val="修订1"/>
    <w:hidden/>
    <w:semiHidden/>
    <w:qFormat/>
    <w:uiPriority w:val="99"/>
    <w:rPr>
      <w:rFonts w:ascii="Times New Roman" w:hAnsi="Times New Roman" w:eastAsia="宋体" w:cs="Times New Roman"/>
      <w:kern w:val="2"/>
      <w:sz w:val="21"/>
      <w:szCs w:val="24"/>
      <w:lang w:val="en-US" w:eastAsia="zh-CN" w:bidi="ar-SA"/>
    </w:rPr>
  </w:style>
  <w:style w:type="paragraph" w:customStyle="1" w:styleId="81">
    <w:name w:val="小标题B级"/>
    <w:basedOn w:val="1"/>
    <w:qFormat/>
    <w:uiPriority w:val="0"/>
    <w:pPr>
      <w:spacing w:line="360" w:lineRule="auto"/>
      <w:ind w:left="420" w:hanging="136"/>
    </w:pPr>
    <w:rPr>
      <w:rFonts w:ascii="Times New Roman" w:eastAsia="仿宋_GB2312"/>
      <w:szCs w:val="22"/>
    </w:rPr>
  </w:style>
  <w:style w:type="character" w:customStyle="1" w:styleId="82">
    <w:name w:val="正文缩进 Char"/>
    <w:link w:val="15"/>
    <w:qFormat/>
    <w:uiPriority w:val="0"/>
    <w:rPr>
      <w:rFonts w:ascii="Times New Roman" w:hAnsi="Times New Roman" w:eastAsia="仿宋_GB2312" w:cs="Times New Roman"/>
      <w:sz w:val="28"/>
      <w:szCs w:val="28"/>
    </w:rPr>
  </w:style>
  <w:style w:type="character" w:customStyle="1" w:styleId="83">
    <w:name w:val="￥正文 Char"/>
    <w:link w:val="84"/>
    <w:qFormat/>
    <w:uiPriority w:val="0"/>
    <w:rPr>
      <w:rFonts w:ascii="Calibri" w:hAnsi="Calibri" w:eastAsia="宋体" w:cs="Times New Roman"/>
      <w:color w:val="000000"/>
      <w:sz w:val="24"/>
    </w:rPr>
  </w:style>
  <w:style w:type="paragraph" w:customStyle="1" w:styleId="84">
    <w:name w:val="￥正文"/>
    <w:basedOn w:val="1"/>
    <w:link w:val="83"/>
    <w:qFormat/>
    <w:uiPriority w:val="0"/>
    <w:pPr>
      <w:spacing w:line="360" w:lineRule="auto"/>
      <w:ind w:firstLine="200" w:firstLineChars="200"/>
    </w:pPr>
    <w:rPr>
      <w:rFonts w:ascii="Calibri" w:hAnsi="Calibri" w:eastAsia="宋体"/>
      <w:color w:val="000000"/>
      <w:sz w:val="24"/>
      <w:szCs w:val="24"/>
    </w:rPr>
  </w:style>
  <w:style w:type="character" w:customStyle="1" w:styleId="85">
    <w:name w:val="批注主题 字符1"/>
    <w:semiHidden/>
    <w:qFormat/>
    <w:locked/>
    <w:uiPriority w:val="99"/>
    <w:rPr>
      <w:b/>
      <w:bCs/>
      <w:kern w:val="2"/>
      <w:sz w:val="21"/>
      <w:szCs w:val="22"/>
    </w:rPr>
  </w:style>
  <w:style w:type="paragraph" w:customStyle="1" w:styleId="86">
    <w:name w:val="AAA正文"/>
    <w:basedOn w:val="1"/>
    <w:qFormat/>
    <w:uiPriority w:val="0"/>
    <w:pPr>
      <w:adjustRightInd w:val="0"/>
      <w:ind w:firstLine="812" w:firstLineChars="200"/>
    </w:pPr>
    <w:rPr>
      <w:rFonts w:ascii="Calibri" w:hAnsi="Calibri" w:eastAsiaTheme="minorEastAsia" w:cstheme="minorBidi"/>
      <w:kern w:val="0"/>
      <w:sz w:val="20"/>
      <w:szCs w:val="20"/>
    </w:rPr>
  </w:style>
  <w:style w:type="paragraph" w:customStyle="1" w:styleId="87">
    <w:name w:val="AAA公文二级标题"/>
    <w:qFormat/>
    <w:uiPriority w:val="0"/>
    <w:pPr>
      <w:ind w:firstLine="628" w:firstLineChars="200"/>
      <w:outlineLvl w:val="1"/>
    </w:pPr>
    <w:rPr>
      <w:rFonts w:ascii="楷体" w:hAnsi="楷体" w:eastAsia="楷体" w:cs="Times New Roman"/>
      <w:sz w:val="32"/>
      <w:lang w:val="en-US" w:eastAsia="zh-CN" w:bidi="ar-SA"/>
    </w:rPr>
  </w:style>
  <w:style w:type="character" w:customStyle="1" w:styleId="88">
    <w:name w:val="AAA公文三级标题 Char"/>
    <w:link w:val="89"/>
    <w:qFormat/>
    <w:uiPriority w:val="0"/>
    <w:rPr>
      <w:rFonts w:ascii="仿宋" w:hAnsi="仿宋" w:eastAsia="仿宋"/>
      <w:b/>
      <w:sz w:val="32"/>
    </w:rPr>
  </w:style>
  <w:style w:type="paragraph" w:customStyle="1" w:styleId="89">
    <w:name w:val="AAA公文三级标题"/>
    <w:next w:val="86"/>
    <w:link w:val="88"/>
    <w:qFormat/>
    <w:uiPriority w:val="0"/>
    <w:pPr>
      <w:ind w:firstLine="628" w:firstLineChars="200"/>
      <w:outlineLvl w:val="2"/>
    </w:pPr>
    <w:rPr>
      <w:rFonts w:ascii="仿宋" w:hAnsi="仿宋" w:eastAsia="仿宋" w:cstheme="minorBidi"/>
      <w:b/>
      <w:kern w:val="2"/>
      <w:sz w:val="32"/>
      <w:szCs w:val="24"/>
      <w:lang w:val="en-US" w:eastAsia="zh-CN" w:bidi="ar-SA"/>
    </w:rPr>
  </w:style>
  <w:style w:type="table" w:customStyle="1" w:styleId="90">
    <w:name w:val="网格型1"/>
    <w:basedOn w:val="36"/>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1">
    <w:name w:val="修订2"/>
    <w:hidden/>
    <w:semiHidden/>
    <w:qFormat/>
    <w:uiPriority w:val="99"/>
    <w:rPr>
      <w:rFonts w:ascii="Times New Roman" w:hAnsi="Times New Roman" w:eastAsia="宋体" w:cs="Times New Roman"/>
      <w:kern w:val="2"/>
      <w:sz w:val="21"/>
      <w:szCs w:val="24"/>
      <w:lang w:val="en-US" w:eastAsia="zh-CN" w:bidi="ar-SA"/>
    </w:rPr>
  </w:style>
  <w:style w:type="paragraph" w:customStyle="1" w:styleId="92">
    <w:name w:val="标题 1（绿盟科技）"/>
    <w:basedOn w:val="2"/>
    <w:next w:val="1"/>
    <w:qFormat/>
    <w:uiPriority w:val="0"/>
    <w:pPr>
      <w:keepNext/>
      <w:keepLines/>
      <w:numPr>
        <w:ilvl w:val="0"/>
        <w:numId w:val="2"/>
      </w:numPr>
      <w:pBdr>
        <w:bottom w:val="single" w:color="auto" w:sz="48" w:space="1"/>
      </w:pBdr>
      <w:tabs>
        <w:tab w:val="left" w:pos="432"/>
      </w:tabs>
      <w:spacing w:after="330" w:line="576" w:lineRule="auto"/>
      <w:jc w:val="left"/>
    </w:pPr>
    <w:rPr>
      <w:rFonts w:ascii="Arial" w:hAnsi="Arial"/>
      <w:bCs/>
      <w:kern w:val="44"/>
      <w:sz w:val="44"/>
      <w:szCs w:val="44"/>
    </w:rPr>
  </w:style>
  <w:style w:type="paragraph" w:customStyle="1" w:styleId="93">
    <w:name w:val="标题 2（绿盟科技）"/>
    <w:basedOn w:val="5"/>
    <w:next w:val="1"/>
    <w:qFormat/>
    <w:uiPriority w:val="0"/>
    <w:pPr>
      <w:keepNext/>
      <w:keepLines/>
      <w:tabs>
        <w:tab w:val="left" w:pos="576"/>
      </w:tabs>
      <w:spacing w:before="260" w:after="260" w:line="415" w:lineRule="auto"/>
      <w:ind w:left="907" w:hanging="907"/>
      <w:jc w:val="left"/>
    </w:pPr>
    <w:rPr>
      <w:rFonts w:ascii="Arial" w:hAnsi="Arial" w:eastAsia="黑体"/>
    </w:rPr>
  </w:style>
  <w:style w:type="paragraph" w:customStyle="1" w:styleId="94">
    <w:name w:val="标题 3（绿盟科技）"/>
    <w:basedOn w:val="6"/>
    <w:next w:val="1"/>
    <w:qFormat/>
    <w:uiPriority w:val="0"/>
    <w:pPr>
      <w:keepNext/>
      <w:keepLines/>
      <w:tabs>
        <w:tab w:val="left" w:pos="720"/>
        <w:tab w:val="left" w:pos="960"/>
      </w:tabs>
      <w:spacing w:beforeLines="50" w:afterLines="50" w:line="415" w:lineRule="auto"/>
      <w:ind w:left="907" w:hanging="907"/>
      <w:jc w:val="left"/>
    </w:pPr>
    <w:rPr>
      <w:rFonts w:ascii="Arial" w:hAnsi="Arial" w:eastAsia="黑体"/>
      <w:kern w:val="0"/>
      <w:sz w:val="30"/>
      <w:szCs w:val="30"/>
    </w:rPr>
  </w:style>
  <w:style w:type="paragraph" w:customStyle="1" w:styleId="95">
    <w:name w:val="标题 4（绿盟科技）"/>
    <w:basedOn w:val="9"/>
    <w:next w:val="1"/>
    <w:qFormat/>
    <w:uiPriority w:val="0"/>
    <w:pPr>
      <w:widowControl/>
      <w:numPr>
        <w:ilvl w:val="3"/>
        <w:numId w:val="2"/>
      </w:numPr>
      <w:spacing w:before="0" w:after="156"/>
      <w:jc w:val="left"/>
    </w:pPr>
    <w:rPr>
      <w:rFonts w:ascii="Arial" w:hAnsi="Arial" w:eastAsia="黑体" w:cs="Times New Roman"/>
      <w:bCs w:val="0"/>
      <w:kern w:val="0"/>
      <w:sz w:val="24"/>
      <w:szCs w:val="24"/>
    </w:rPr>
  </w:style>
  <w:style w:type="paragraph" w:customStyle="1" w:styleId="96">
    <w:name w:val="标题 5（有编号）（绿盟科技）"/>
    <w:basedOn w:val="1"/>
    <w:next w:val="1"/>
    <w:qFormat/>
    <w:uiPriority w:val="0"/>
    <w:pPr>
      <w:keepNext/>
      <w:keepLines/>
      <w:numPr>
        <w:ilvl w:val="4"/>
        <w:numId w:val="2"/>
      </w:numPr>
      <w:spacing w:before="280" w:after="156" w:line="377" w:lineRule="auto"/>
      <w:jc w:val="left"/>
      <w:outlineLvl w:val="4"/>
    </w:pPr>
    <w:rPr>
      <w:rFonts w:ascii="Arial" w:hAnsi="Arial" w:eastAsia="黑体"/>
      <w:b/>
      <w:kern w:val="0"/>
      <w:sz w:val="24"/>
    </w:rPr>
  </w:style>
  <w:style w:type="paragraph" w:customStyle="1" w:styleId="97">
    <w:name w:val="标题 6（有编号）（绿盟科技）"/>
    <w:basedOn w:val="1"/>
    <w:next w:val="1"/>
    <w:qFormat/>
    <w:uiPriority w:val="0"/>
    <w:pPr>
      <w:keepNext/>
      <w:keepLines/>
      <w:numPr>
        <w:ilvl w:val="5"/>
        <w:numId w:val="2"/>
      </w:numPr>
      <w:spacing w:before="240" w:after="64" w:line="319" w:lineRule="auto"/>
      <w:jc w:val="left"/>
      <w:outlineLvl w:val="5"/>
    </w:pPr>
    <w:rPr>
      <w:rFonts w:ascii="Arial" w:hAnsi="Arial" w:eastAsia="黑体"/>
      <w:b/>
      <w:kern w:val="0"/>
      <w:sz w:val="21"/>
      <w:szCs w:val="24"/>
    </w:rPr>
  </w:style>
  <w:style w:type="paragraph" w:customStyle="1" w:styleId="98">
    <w:name w:val="插图标注（绿盟科技）"/>
    <w:next w:val="1"/>
    <w:qFormat/>
    <w:uiPriority w:val="0"/>
    <w:pPr>
      <w:numPr>
        <w:ilvl w:val="6"/>
        <w:numId w:val="2"/>
      </w:numPr>
      <w:spacing w:after="156"/>
      <w:jc w:val="center"/>
    </w:pPr>
    <w:rPr>
      <w:rFonts w:ascii="Arial" w:hAnsi="Arial" w:eastAsia="宋体" w:cs="Arial"/>
      <w:sz w:val="21"/>
      <w:szCs w:val="21"/>
      <w:lang w:val="en-US" w:eastAsia="zh-CN" w:bidi="ar-SA"/>
    </w:rPr>
  </w:style>
  <w:style w:type="paragraph" w:customStyle="1" w:styleId="99">
    <w:name w:val="表格标注（绿盟科技）"/>
    <w:basedOn w:val="98"/>
    <w:next w:val="1"/>
    <w:qFormat/>
    <w:uiPriority w:val="0"/>
    <w:pPr>
      <w:numPr>
        <w:ilvl w:val="7"/>
      </w:numPr>
    </w:pPr>
  </w:style>
  <w:style w:type="paragraph" w:customStyle="1" w:styleId="100">
    <w:name w:val="投标文件-正文"/>
    <w:link w:val="101"/>
    <w:qFormat/>
    <w:uiPriority w:val="0"/>
    <w:pPr>
      <w:spacing w:line="360" w:lineRule="auto"/>
      <w:ind w:firstLine="200" w:firstLineChars="200"/>
    </w:pPr>
    <w:rPr>
      <w:rFonts w:ascii="宋体" w:hAnsi="宋体" w:eastAsia="宋体" w:cs="Times New Roman"/>
      <w:kern w:val="2"/>
      <w:sz w:val="24"/>
      <w:szCs w:val="22"/>
      <w:lang w:val="en-US" w:eastAsia="zh-CN" w:bidi="ar-SA"/>
    </w:rPr>
  </w:style>
  <w:style w:type="character" w:customStyle="1" w:styleId="101">
    <w:name w:val="投标文件-正文 字符"/>
    <w:link w:val="100"/>
    <w:qFormat/>
    <w:uiPriority w:val="0"/>
    <w:rPr>
      <w:rFonts w:ascii="宋体" w:hAnsi="宋体" w:eastAsia="宋体" w:cs="Times New Roman"/>
      <w:sz w:val="24"/>
      <w:szCs w:val="22"/>
    </w:rPr>
  </w:style>
  <w:style w:type="character" w:customStyle="1" w:styleId="102">
    <w:name w:val="章标题 Char"/>
    <w:link w:val="103"/>
    <w:qFormat/>
    <w:uiPriority w:val="0"/>
    <w:rPr>
      <w:rFonts w:ascii="黑体" w:eastAsia="黑体"/>
    </w:rPr>
  </w:style>
  <w:style w:type="paragraph" w:customStyle="1" w:styleId="103">
    <w:name w:val="章标题"/>
    <w:next w:val="1"/>
    <w:link w:val="102"/>
    <w:qFormat/>
    <w:uiPriority w:val="0"/>
    <w:pPr>
      <w:spacing w:before="312" w:beforeLines="100" w:after="312" w:afterLines="100"/>
      <w:ind w:left="420" w:hanging="136"/>
      <w:jc w:val="both"/>
      <w:outlineLvl w:val="1"/>
    </w:pPr>
    <w:rPr>
      <w:rFonts w:ascii="黑体" w:eastAsia="黑体" w:hAnsiTheme="minorHAnsi" w:cstheme="minorBidi"/>
      <w:kern w:val="2"/>
      <w:sz w:val="21"/>
      <w:szCs w:val="24"/>
      <w:lang w:val="en-US" w:eastAsia="zh-CN" w:bidi="ar-SA"/>
    </w:rPr>
  </w:style>
  <w:style w:type="paragraph" w:customStyle="1" w:styleId="104">
    <w:name w:val="列出段落2"/>
    <w:basedOn w:val="1"/>
    <w:qFormat/>
    <w:uiPriority w:val="99"/>
    <w:pPr>
      <w:ind w:firstLine="420" w:firstLineChars="200"/>
    </w:pPr>
    <w:rPr>
      <w:rFonts w:ascii="Times New Roman" w:eastAsia="仿宋_GB2312"/>
      <w:szCs w:val="24"/>
    </w:rPr>
  </w:style>
  <w:style w:type="paragraph" w:customStyle="1" w:styleId="105">
    <w:name w:val="正文Z"/>
    <w:basedOn w:val="1"/>
    <w:qFormat/>
    <w:uiPriority w:val="0"/>
    <w:pPr>
      <w:pBdr>
        <w:top w:val="none" w:color="FFFFFF" w:sz="0" w:space="31"/>
        <w:left w:val="none" w:color="FFFFFF" w:sz="0" w:space="31"/>
        <w:bottom w:val="none" w:color="FFFFFF" w:sz="0" w:space="31"/>
        <w:right w:val="none" w:color="FFFFFF" w:sz="0" w:space="31"/>
      </w:pBdr>
      <w:spacing w:line="600" w:lineRule="exact"/>
      <w:ind w:firstLine="640" w:firstLineChars="200"/>
    </w:pPr>
    <w:rPr>
      <w:rFonts w:ascii="方正仿宋_GBK" w:hAnsi="仿宋" w:eastAsia="方正仿宋_GBK" w:cs="仿宋"/>
      <w:color w:val="000000"/>
      <w:szCs w:val="32"/>
      <w:u w:color="000000"/>
      <w:lang w:val="zh-TW" w:eastAsia="zh-TW"/>
    </w:rPr>
  </w:style>
  <w:style w:type="paragraph" w:customStyle="1" w:styleId="106">
    <w:name w:val="图内文字5号居左"/>
    <w:qFormat/>
    <w:uiPriority w:val="0"/>
    <w:rPr>
      <w:rFonts w:ascii="Times New Roman" w:hAnsi="Times New Roman" w:eastAsia="宋体" w:cs="Times New Roman"/>
      <w:kern w:val="2"/>
      <w:sz w:val="18"/>
      <w:szCs w:val="24"/>
      <w:lang w:val="en-US" w:eastAsia="zh-CN" w:bidi="ar-SA"/>
    </w:rPr>
  </w:style>
  <w:style w:type="paragraph" w:customStyle="1" w:styleId="107">
    <w:name w:val="修订3"/>
    <w:hidden/>
    <w:semiHidden/>
    <w:qFormat/>
    <w:uiPriority w:val="99"/>
    <w:rPr>
      <w:rFonts w:ascii="仿宋" w:hAnsi="Times New Roman" w:eastAsia="仿宋" w:cs="Times New Roman"/>
      <w:kern w:val="2"/>
      <w:sz w:val="32"/>
      <w:szCs w:val="28"/>
      <w:lang w:val="en-US" w:eastAsia="zh-CN" w:bidi="ar-SA"/>
    </w:rPr>
  </w:style>
  <w:style w:type="table" w:customStyle="1" w:styleId="108">
    <w:name w:val="Table Normal"/>
    <w:unhideWhenUsed/>
    <w:qFormat/>
    <w:uiPriority w:val="0"/>
    <w:pPr>
      <w:widowControl w:val="0"/>
    </w:pPr>
    <w:rPr>
      <w:rFonts w:ascii="Calibri" w:hAnsi="Calibri" w:eastAsia="宋体" w:cs="Times New Roman"/>
      <w:sz w:val="22"/>
      <w:szCs w:val="22"/>
      <w:lang w:eastAsia="en-US"/>
    </w:rPr>
    <w:tblPr>
      <w:tblCellMar>
        <w:top w:w="0" w:type="dxa"/>
        <w:left w:w="0" w:type="dxa"/>
        <w:bottom w:w="0" w:type="dxa"/>
        <w:right w:w="0" w:type="dxa"/>
      </w:tblCellMar>
    </w:tblPr>
  </w:style>
  <w:style w:type="paragraph" w:customStyle="1" w:styleId="109">
    <w:name w:val="Char Char Char1 Char"/>
    <w:basedOn w:val="1"/>
    <w:semiHidden/>
    <w:qFormat/>
    <w:uiPriority w:val="0"/>
    <w:pPr>
      <w:spacing w:line="360" w:lineRule="auto"/>
      <w:ind w:firstLine="200" w:firstLineChars="200"/>
    </w:pPr>
    <w:rPr>
      <w:rFonts w:ascii="宋体" w:hAnsi="宋体" w:eastAsia="宋体" w:cs="宋体"/>
      <w:sz w:val="24"/>
      <w:szCs w:val="24"/>
    </w:rPr>
  </w:style>
  <w:style w:type="character" w:customStyle="1" w:styleId="110">
    <w:name w:val="未处理的提及1"/>
    <w:basedOn w:val="38"/>
    <w:semiHidden/>
    <w:unhideWhenUsed/>
    <w:qFormat/>
    <w:uiPriority w:val="99"/>
    <w:rPr>
      <w:color w:val="605E5C"/>
      <w:shd w:val="clear" w:color="auto" w:fill="E1DFDD"/>
    </w:rPr>
  </w:style>
  <w:style w:type="character" w:customStyle="1" w:styleId="111">
    <w:name w:val="未处理的提及2"/>
    <w:basedOn w:val="38"/>
    <w:semiHidden/>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C56EC44-652D-48DD-8AFC-695E0AC4B9C4}">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50</Pages>
  <Words>25144</Words>
  <Characters>25578</Characters>
  <Lines>226</Lines>
  <Paragraphs>63</Paragraphs>
  <TotalTime>2</TotalTime>
  <ScaleCrop>false</ScaleCrop>
  <LinksUpToDate>false</LinksUpToDate>
  <CharactersWithSpaces>25701</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2021-12-09T05:21:00Z</dcterms:created>
  <dc:creator>刘 子瑞</dc:creator>
  <cp:lastModifiedBy>梅</cp:lastModifiedBy>
  <cp:lastPrinted>2021-12-03T09:17:00Z</cp:lastPrinted>
  <dcterms:modified xsi:type="dcterms:W3CDTF">2024-12-24T07:31:57Z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EF232BCC082049B2A0305C4B1F9A5674_12</vt:lpwstr>
  </property>
</Properties>
</file>