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FE" w:rsidRPr="004D34FE" w:rsidRDefault="004D34FE" w:rsidP="004D34FE">
      <w:pPr>
        <w:adjustRightInd w:val="0"/>
        <w:snapToGrid w:val="0"/>
        <w:spacing w:line="52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4D34FE">
        <w:rPr>
          <w:rFonts w:ascii="Times New Roman" w:eastAsia="方正黑体_GBK" w:hAnsi="Times New Roman" w:cs="方正黑体_GBK" w:hint="eastAsia"/>
          <w:color w:val="000000"/>
          <w:kern w:val="0"/>
          <w:sz w:val="32"/>
          <w:szCs w:val="32"/>
          <w:lang w:bidi="ar"/>
        </w:rPr>
        <w:t>附件</w:t>
      </w:r>
      <w:r w:rsidRPr="004D34FE">
        <w:rPr>
          <w:rFonts w:ascii="Times New Roman" w:eastAsia="方正黑体_GBK" w:hAnsi="Times New Roman" w:cs="方正黑体_GBK" w:hint="eastAsia"/>
          <w:color w:val="000000"/>
          <w:kern w:val="0"/>
          <w:sz w:val="32"/>
          <w:szCs w:val="32"/>
          <w:lang w:bidi="ar"/>
        </w:rPr>
        <w:t>7</w:t>
      </w:r>
    </w:p>
    <w:p w:rsidR="004D34FE" w:rsidRPr="004D34FE" w:rsidRDefault="004D34FE" w:rsidP="004D34FE">
      <w:pPr>
        <w:adjustRightInd w:val="0"/>
        <w:snapToGrid w:val="0"/>
        <w:spacing w:line="520" w:lineRule="exact"/>
        <w:jc w:val="center"/>
        <w:outlineLvl w:val="1"/>
        <w:rPr>
          <w:rFonts w:asciiTheme="majorHAnsi" w:eastAsiaTheme="majorEastAsia" w:hAnsiTheme="majorHAnsi" w:cstheme="majorBidi"/>
          <w:sz w:val="44"/>
          <w:szCs w:val="44"/>
        </w:rPr>
      </w:pPr>
      <w:r w:rsidRPr="004D34FE">
        <w:rPr>
          <w:rFonts w:asciiTheme="majorHAnsi" w:eastAsia="方正小标宋_GBK" w:hAnsiTheme="majorHAnsi" w:cs="方正小标宋_GBK" w:hint="eastAsia"/>
          <w:color w:val="000000"/>
          <w:kern w:val="0"/>
          <w:sz w:val="44"/>
          <w:szCs w:val="44"/>
          <w:lang w:bidi="ar"/>
        </w:rPr>
        <w:t>2024</w:t>
      </w:r>
      <w:r w:rsidRPr="004D34FE">
        <w:rPr>
          <w:rFonts w:asciiTheme="majorHAnsi" w:eastAsia="方正小标宋_GBK" w:hAnsiTheme="majorHAnsi" w:cs="方正小标宋_GBK" w:hint="eastAsia"/>
          <w:color w:val="000000"/>
          <w:kern w:val="0"/>
          <w:sz w:val="44"/>
          <w:szCs w:val="44"/>
          <w:lang w:bidi="ar"/>
        </w:rPr>
        <w:t>年</w:t>
      </w:r>
      <w:proofErr w:type="gramStart"/>
      <w:r w:rsidRPr="004D34FE">
        <w:rPr>
          <w:rFonts w:asciiTheme="majorHAnsi" w:eastAsia="方正小标宋_GBK" w:hAnsiTheme="majorHAnsi" w:cs="方正小标宋_GBK" w:hint="eastAsia"/>
          <w:color w:val="000000"/>
          <w:kern w:val="0"/>
          <w:sz w:val="44"/>
          <w:szCs w:val="44"/>
          <w:lang w:bidi="ar"/>
        </w:rPr>
        <w:t>两江新区</w:t>
      </w:r>
      <w:proofErr w:type="gramEnd"/>
      <w:r w:rsidRPr="004D34FE">
        <w:rPr>
          <w:rFonts w:asciiTheme="majorHAnsi" w:eastAsia="方正小标宋_GBK" w:hAnsiTheme="majorHAnsi" w:cs="方正小标宋_GBK" w:hint="eastAsia"/>
          <w:color w:val="000000"/>
          <w:kern w:val="0"/>
          <w:sz w:val="44"/>
          <w:szCs w:val="44"/>
          <w:lang w:bidi="ar"/>
        </w:rPr>
        <w:t>政府债券资金安排表</w:t>
      </w:r>
    </w:p>
    <w:p w:rsidR="004D34FE" w:rsidRPr="004D34FE" w:rsidRDefault="004D34FE" w:rsidP="004D34FE">
      <w:pPr>
        <w:adjustRightInd w:val="0"/>
        <w:snapToGrid w:val="0"/>
        <w:spacing w:line="520" w:lineRule="exact"/>
        <w:jc w:val="right"/>
        <w:rPr>
          <w:rFonts w:ascii="Times New Roman" w:eastAsia="宋体" w:hAnsi="Times New Roman" w:cs="Times New Roman"/>
          <w:szCs w:val="20"/>
        </w:rPr>
      </w:pPr>
      <w:r w:rsidRPr="004D34FE">
        <w:rPr>
          <w:rFonts w:ascii="Times New Roman" w:eastAsia="方正仿宋_GBK" w:hAnsi="Times New Roman" w:cs="方正仿宋_GBK" w:hint="eastAsia"/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15307" w:type="dxa"/>
        <w:jc w:val="center"/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765"/>
        <w:gridCol w:w="6840"/>
        <w:gridCol w:w="4766"/>
        <w:gridCol w:w="1500"/>
        <w:gridCol w:w="1436"/>
      </w:tblGrid>
      <w:tr w:rsidR="004D34FE" w:rsidRPr="004D34FE" w:rsidTr="00A34F0F">
        <w:trPr>
          <w:trHeight w:val="451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项目领域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债务性质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债务规模</w:t>
            </w:r>
          </w:p>
        </w:tc>
      </w:tr>
      <w:tr w:rsidR="004D34FE" w:rsidRPr="004D34FE" w:rsidTr="00A34F0F">
        <w:trPr>
          <w:trHeight w:val="363"/>
          <w:jc w:val="center"/>
        </w:trPr>
        <w:tc>
          <w:tcPr>
            <w:tcW w:w="1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方正黑体_GBK" w:hAnsi="Times New Roman" w:cs="方正黑体_GBK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 w:bidi="ar"/>
              </w:rPr>
              <w:t>511</w:t>
            </w:r>
            <w:r w:rsidRPr="004D34FE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0"/>
                <w:sz w:val="24"/>
                <w:szCs w:val="24"/>
                <w:lang w:bidi="ar"/>
              </w:rPr>
              <w:t>,</w:t>
            </w:r>
            <w:r w:rsidRPr="004D34FE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-6"/>
                <w:kern w:val="0"/>
                <w:sz w:val="24"/>
                <w:szCs w:val="24"/>
                <w:lang w:bidi="ar"/>
              </w:rPr>
              <w:t>900</w:t>
            </w:r>
          </w:p>
        </w:tc>
      </w:tr>
      <w:tr w:rsidR="004D34FE" w:rsidRPr="004D34FE" w:rsidTr="00A34F0F">
        <w:trPr>
          <w:trHeight w:val="48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038-1-1</w:t>
            </w: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地块中学工程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7,200</w:t>
            </w:r>
          </w:p>
        </w:tc>
      </w:tr>
      <w:tr w:rsidR="004D34FE" w:rsidRPr="004D34FE" w:rsidTr="00A34F0F">
        <w:trPr>
          <w:trHeight w:val="45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金渝学校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二期（</w:t>
            </w: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O10-9</w:t>
            </w: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2,000</w:t>
            </w:r>
          </w:p>
        </w:tc>
      </w:tr>
      <w:tr w:rsidR="004D34FE" w:rsidRPr="004D34FE" w:rsidTr="00A34F0F">
        <w:trPr>
          <w:trHeight w:val="436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星光</w:t>
            </w: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学校柏溪校区</w:t>
            </w:r>
            <w:proofErr w:type="gramEnd"/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3,400</w:t>
            </w:r>
          </w:p>
        </w:tc>
      </w:tr>
      <w:tr w:rsidR="004D34FE" w:rsidRPr="004D34FE" w:rsidTr="00A34F0F">
        <w:trPr>
          <w:trHeight w:val="45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金</w:t>
            </w: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海学校</w:t>
            </w:r>
            <w:proofErr w:type="gramEnd"/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2,700</w:t>
            </w:r>
          </w:p>
        </w:tc>
      </w:tr>
      <w:tr w:rsidR="004D34FE" w:rsidRPr="004D34FE" w:rsidTr="00A34F0F">
        <w:trPr>
          <w:trHeight w:val="45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十方</w:t>
            </w: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界中学</w:t>
            </w:r>
            <w:proofErr w:type="gramEnd"/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2,700</w:t>
            </w:r>
          </w:p>
        </w:tc>
      </w:tr>
      <w:tr w:rsidR="004D34FE" w:rsidRPr="004D34FE" w:rsidTr="00A34F0F">
        <w:trPr>
          <w:trHeight w:val="466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金山小学栖霞路校区改扩建项目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1,300</w:t>
            </w:r>
          </w:p>
        </w:tc>
      </w:tr>
      <w:tr w:rsidR="004D34FE" w:rsidRPr="004D34FE" w:rsidTr="00A34F0F">
        <w:trPr>
          <w:trHeight w:val="42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人和片区</w:t>
            </w: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I46-1/01</w:t>
            </w: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地块学校建设工程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2,000</w:t>
            </w:r>
          </w:p>
        </w:tc>
      </w:tr>
      <w:tr w:rsidR="004D34FE" w:rsidRPr="004D34FE" w:rsidTr="00A34F0F">
        <w:trPr>
          <w:trHeight w:val="45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两江西大附中竹林校区宿舍增建工程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4D34FE" w:rsidRPr="004D34FE" w:rsidTr="00A34F0F">
        <w:trPr>
          <w:trHeight w:val="436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hyperlink r:id="rId7" w:history="1">
              <w:r w:rsidRPr="004D34FE">
                <w:rPr>
                  <w:rFonts w:ascii="Times New Roman" w:eastAsia="方正仿宋_GBK" w:hAnsi="Times New Roman" w:cs="Times New Roman"/>
                  <w:color w:val="000000"/>
                  <w:spacing w:val="-6"/>
                  <w:kern w:val="0"/>
                  <w:sz w:val="24"/>
                  <w:szCs w:val="24"/>
                  <w:lang w:bidi="ar"/>
                </w:rPr>
                <w:t>鹿山小学</w:t>
              </w:r>
            </w:hyperlink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4D34FE" w:rsidRPr="004D34FE" w:rsidTr="00A34F0F">
        <w:trPr>
          <w:trHeight w:val="40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两江新村实验学校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1,600</w:t>
            </w:r>
          </w:p>
        </w:tc>
      </w:tr>
      <w:tr w:rsidR="004D34FE" w:rsidRPr="004D34FE" w:rsidTr="00A34F0F">
        <w:trPr>
          <w:trHeight w:val="484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御园配套小学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2,200</w:t>
            </w:r>
          </w:p>
        </w:tc>
      </w:tr>
      <w:tr w:rsidR="004D34FE" w:rsidRPr="004D34FE" w:rsidTr="00A34F0F">
        <w:trPr>
          <w:trHeight w:val="43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合泽家园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800</w:t>
            </w:r>
          </w:p>
        </w:tc>
      </w:tr>
      <w:tr w:rsidR="004D34FE" w:rsidRPr="004D34FE" w:rsidTr="00A34F0F">
        <w:trPr>
          <w:trHeight w:val="49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健康城小学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悦来第四小学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1,300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重庆两路寸滩保税港区国际现代化智慧物流产业</w:t>
            </w: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园基础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设施项目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6,300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重庆两路寸滩保税港区绿色产业</w:t>
            </w: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园基础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设施项目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8,500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华中科技大学同济医学院附属协和医院重庆医院建设工程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4"/>
                <w:szCs w:val="24"/>
                <w:lang w:bidi="ar"/>
              </w:rPr>
              <w:t>卫生健康（含应急医疗救治设施、公共卫生设施）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166,900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两江新区龙兴工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业园智能装备制造区配套基础设施工程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13,000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龙兴工业园区升级配套基础设施工程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32,900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4D34FE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水土新城生态“零碳”医疗示范工程基础设施项目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4"/>
                <w:szCs w:val="24"/>
                <w:lang w:bidi="ar"/>
              </w:rPr>
              <w:t>卫生健康（含应急医疗救治设施、公共卫生设施）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14,700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御临产业园区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产业基础及配套设施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17,000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协同创新区绿色智能制造成果转化基地建设工程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9,400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重庆</w:t>
            </w: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悦来智慧低碳产业园配套基础设施项目（一期）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22,900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龙兴古镇提档升级配套基础设施工程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文化旅游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2,700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重庆</w:t>
            </w: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第一人民医院扩建项目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4"/>
                <w:szCs w:val="24"/>
                <w:lang w:bidi="ar"/>
              </w:rPr>
              <w:t>卫生健康（含应急医疗救治设施、公共卫生设施）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50,800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重庆两江新区中医院迁建项目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4"/>
                <w:szCs w:val="24"/>
                <w:lang w:bidi="ar"/>
              </w:rPr>
              <w:t>卫生健康（含应急医疗救治设施、公共卫生设施）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13,000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重庆两路寸滩保税港区</w:t>
            </w: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Q</w:t>
            </w: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分区基础设施工程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16,000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两江国际汽车城基础设施改造提升工程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5,200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两江新区鱼复工业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园复盛新城区基础设施完善工程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7,500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中国科学院大学研发科创中心及配套基础设施工程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4,000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水土高新产业园复兴北片区基础设施工程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5,600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水土新城光电显示产业基础设施建设项目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7,900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水土新城人才基地及配套设施建设工程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9,100</w:t>
            </w:r>
          </w:p>
        </w:tc>
      </w:tr>
      <w:tr w:rsidR="004D34FE" w:rsidRPr="004D34FE" w:rsidTr="00A34F0F">
        <w:trPr>
          <w:trHeight w:val="527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两江新区龙兴工业园城市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品质提升配套基础设施工程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18,000</w:t>
            </w:r>
          </w:p>
        </w:tc>
      </w:tr>
      <w:tr w:rsidR="004D34FE" w:rsidRPr="004D34FE" w:rsidTr="00A34F0F">
        <w:trPr>
          <w:trHeight w:val="56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4"/>
                <w:szCs w:val="24"/>
                <w:lang w:bidi="ar"/>
              </w:rPr>
              <w:t>两江新区龙兴工业园技术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11"/>
                <w:kern w:val="0"/>
                <w:sz w:val="24"/>
                <w:szCs w:val="24"/>
                <w:lang w:bidi="ar"/>
              </w:rPr>
              <w:t>创新核心区重大市政基础设施提档升级工程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18,400</w:t>
            </w:r>
          </w:p>
        </w:tc>
      </w:tr>
      <w:tr w:rsidR="004D34FE" w:rsidRPr="004D34FE" w:rsidTr="00A34F0F">
        <w:trPr>
          <w:trHeight w:val="484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龙兴航空航天产业功能区配套工程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3,400</w:t>
            </w:r>
          </w:p>
        </w:tc>
      </w:tr>
      <w:tr w:rsidR="004D34FE" w:rsidRPr="004D34FE" w:rsidTr="00A34F0F">
        <w:trPr>
          <w:trHeight w:val="533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重庆</w:t>
            </w: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EBD</w:t>
            </w: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生态科技产业园区配套基础设施建设项目（一期）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2,000</w:t>
            </w:r>
          </w:p>
        </w:tc>
      </w:tr>
      <w:tr w:rsidR="004D34FE" w:rsidRPr="004D34FE" w:rsidTr="00A34F0F">
        <w:trPr>
          <w:trHeight w:val="53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北京理工大学重庆创新中心及基础配套设施建设工程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1,400</w:t>
            </w:r>
          </w:p>
        </w:tc>
      </w:tr>
      <w:tr w:rsidR="004D34FE" w:rsidRPr="004D34FE" w:rsidTr="00A34F0F">
        <w:trPr>
          <w:trHeight w:val="546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水土高新产业园补短板基础设施建设工程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1,600</w:t>
            </w:r>
          </w:p>
        </w:tc>
      </w:tr>
      <w:tr w:rsidR="004D34FE" w:rsidRPr="004D34FE" w:rsidTr="00A34F0F">
        <w:trPr>
          <w:trHeight w:val="56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重庆两路寸滩保税港区智慧贸易服务基础设施工程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3,100</w:t>
            </w:r>
          </w:p>
        </w:tc>
      </w:tr>
      <w:tr w:rsidR="004D34FE" w:rsidRPr="004D34FE" w:rsidTr="00A34F0F">
        <w:trPr>
          <w:trHeight w:val="516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两江国际多式联运物流基地配套基础设施项目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20,300</w:t>
            </w:r>
          </w:p>
        </w:tc>
      </w:tr>
      <w:tr w:rsidR="004D34FE" w:rsidRPr="004D34FE" w:rsidTr="00A34F0F">
        <w:trPr>
          <w:trHeight w:val="551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proofErr w:type="gramStart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两江新区龙兴工</w:t>
            </w:r>
            <w:proofErr w:type="gramEnd"/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业园生态智慧城市配套基础设施工程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产业园区基础设施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专项债券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FE" w:rsidRPr="004D34FE" w:rsidRDefault="004D34FE" w:rsidP="004D34FE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 w:rsidRPr="004D34FE"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1,900</w:t>
            </w:r>
          </w:p>
        </w:tc>
      </w:tr>
    </w:tbl>
    <w:p w:rsidR="004D34FE" w:rsidRPr="004D34FE" w:rsidRDefault="004D34FE" w:rsidP="004D34FE">
      <w:pPr>
        <w:rPr>
          <w:rFonts w:ascii="Times New Roman" w:eastAsia="宋体" w:hAnsi="Times New Roman" w:cs="Times New Roman"/>
          <w:szCs w:val="20"/>
        </w:rPr>
      </w:pPr>
    </w:p>
    <w:p w:rsidR="00BD6F7C" w:rsidRPr="004D34FE" w:rsidRDefault="00BD6F7C">
      <w:bookmarkStart w:id="0" w:name="_GoBack"/>
      <w:bookmarkEnd w:id="0"/>
    </w:p>
    <w:sectPr w:rsidR="00BD6F7C" w:rsidRPr="004D34FE" w:rsidSect="004D34FE">
      <w:pgSz w:w="16838" w:h="11906" w:orient="landscape"/>
      <w:pgMar w:top="1418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0B" w:rsidRDefault="004A260B" w:rsidP="004D34FE">
      <w:r>
        <w:separator/>
      </w:r>
    </w:p>
  </w:endnote>
  <w:endnote w:type="continuationSeparator" w:id="0">
    <w:p w:rsidR="004A260B" w:rsidRDefault="004A260B" w:rsidP="004D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0B" w:rsidRDefault="004A260B" w:rsidP="004D34FE">
      <w:r>
        <w:separator/>
      </w:r>
    </w:p>
  </w:footnote>
  <w:footnote w:type="continuationSeparator" w:id="0">
    <w:p w:rsidR="004A260B" w:rsidRDefault="004A260B" w:rsidP="004D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AA"/>
    <w:rsid w:val="004A260B"/>
    <w:rsid w:val="004D34FE"/>
    <w:rsid w:val="008758DD"/>
    <w:rsid w:val="009F4E5F"/>
    <w:rsid w:val="00B473AA"/>
    <w:rsid w:val="00B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4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9.153.113.2:8808/page/debt/zqgl/fxgl/zqzlYhsMain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1621</Characters>
  <Application>Microsoft Office Word</Application>
  <DocSecurity>0</DocSecurity>
  <Lines>13</Lines>
  <Paragraphs>3</Paragraphs>
  <ScaleCrop>false</ScaleCrop>
  <Company>HP Inc.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陈晓溪</dc:creator>
  <cp:keywords/>
  <dc:description/>
  <cp:lastModifiedBy>陈晓溪</cp:lastModifiedBy>
  <cp:revision>2</cp:revision>
  <dcterms:created xsi:type="dcterms:W3CDTF">2024-12-30T07:33:00Z</dcterms:created>
  <dcterms:modified xsi:type="dcterms:W3CDTF">2024-12-30T07:34:00Z</dcterms:modified>
</cp:coreProperties>
</file>