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8" w:rsidRPr="00296128" w:rsidRDefault="00296128" w:rsidP="00296128">
      <w:pPr>
        <w:adjustRightInd w:val="0"/>
        <w:snapToGrid w:val="0"/>
        <w:spacing w:line="520" w:lineRule="exact"/>
        <w:rPr>
          <w:rFonts w:ascii="Times New Roman" w:eastAsia="宋体" w:hAnsi="Times New Roman" w:cs="Times New Roman"/>
          <w:szCs w:val="20"/>
        </w:rPr>
      </w:pPr>
      <w:r w:rsidRPr="00296128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附件</w:t>
      </w:r>
      <w:r w:rsidRPr="00296128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  <w:lang w:bidi="ar"/>
        </w:rPr>
        <w:t>3</w:t>
      </w:r>
    </w:p>
    <w:p w:rsidR="00296128" w:rsidRPr="00296128" w:rsidRDefault="00296128" w:rsidP="00296128">
      <w:pPr>
        <w:adjustRightInd w:val="0"/>
        <w:snapToGrid w:val="0"/>
        <w:spacing w:line="520" w:lineRule="exact"/>
        <w:jc w:val="center"/>
        <w:outlineLvl w:val="1"/>
        <w:rPr>
          <w:rFonts w:asciiTheme="majorHAnsi" w:eastAsiaTheme="majorEastAsia" w:hAnsiTheme="majorHAnsi" w:cstheme="majorBidi"/>
          <w:sz w:val="44"/>
          <w:szCs w:val="44"/>
        </w:rPr>
      </w:pPr>
      <w:bookmarkStart w:id="0" w:name="_GoBack"/>
      <w:r w:rsidRPr="00296128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2024</w:t>
      </w:r>
      <w:r w:rsidRPr="00296128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年</w:t>
      </w:r>
      <w:proofErr w:type="gramStart"/>
      <w:r w:rsidRPr="00296128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两江新区</w:t>
      </w:r>
      <w:proofErr w:type="gramEnd"/>
      <w:r w:rsidRPr="00296128">
        <w:rPr>
          <w:rFonts w:asciiTheme="majorHAnsi" w:eastAsia="方正小标宋_GBK" w:hAnsiTheme="majorHAnsi" w:cs="方正小标宋_GBK" w:hint="eastAsia"/>
          <w:color w:val="000000"/>
          <w:kern w:val="0"/>
          <w:sz w:val="44"/>
          <w:szCs w:val="44"/>
          <w:lang w:bidi="ar"/>
        </w:rPr>
        <w:t>一般公共预算转移支付收支调整预算表</w:t>
      </w:r>
    </w:p>
    <w:bookmarkEnd w:id="0"/>
    <w:p w:rsidR="00296128" w:rsidRPr="00296128" w:rsidRDefault="00296128" w:rsidP="00296128">
      <w:pPr>
        <w:adjustRightInd w:val="0"/>
        <w:snapToGrid w:val="0"/>
        <w:spacing w:line="520" w:lineRule="exact"/>
        <w:jc w:val="right"/>
        <w:rPr>
          <w:rFonts w:ascii="Times New Roman" w:eastAsia="宋体" w:hAnsi="Times New Roman" w:cs="Times New Roman"/>
          <w:szCs w:val="20"/>
        </w:rPr>
      </w:pPr>
      <w:r w:rsidRPr="00296128">
        <w:rPr>
          <w:rFonts w:ascii="方正仿宋_GBK" w:eastAsia="方正仿宋_GBK" w:hAnsi="方正仿宋_GBK" w:cs="方正仿宋_GBK"/>
          <w:color w:val="000000"/>
          <w:sz w:val="24"/>
          <w:szCs w:val="24"/>
          <w:lang w:bidi="ar"/>
        </w:rPr>
        <w:t>单位：万元</w:t>
      </w:r>
    </w:p>
    <w:tbl>
      <w:tblPr>
        <w:tblW w:w="15307" w:type="dxa"/>
        <w:jc w:val="center"/>
        <w:tblLayout w:type="fixed"/>
        <w:tblLook w:val="0000" w:firstRow="0" w:lastRow="0" w:firstColumn="0" w:lastColumn="0" w:noHBand="0" w:noVBand="0"/>
      </w:tblPr>
      <w:tblGrid>
        <w:gridCol w:w="5230"/>
        <w:gridCol w:w="1293"/>
        <w:gridCol w:w="1326"/>
        <w:gridCol w:w="1365"/>
        <w:gridCol w:w="2372"/>
        <w:gridCol w:w="1235"/>
        <w:gridCol w:w="1112"/>
        <w:gridCol w:w="1374"/>
      </w:tblGrid>
      <w:tr w:rsidR="00296128" w:rsidRPr="00296128" w:rsidTr="00A34F0F">
        <w:trPr>
          <w:trHeight w:val="369"/>
          <w:tblHeader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收</w:t>
            </w: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支</w:t>
            </w: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方正黑体_GBK" w:eastAsia="方正黑体_GBK" w:hAnsi="方正黑体_GBK" w:cs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转移性收入合计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508,110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317,973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826,083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黑体_GBK" w:hAnsi="Times New Roman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转移性支出合计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一、上级补助收入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119,011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212,447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331,458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一、上解上级支出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（一）返还性收入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58,562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58,562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（一）体制上解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（二）一般性转移支付收入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43,795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99,305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143,100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（二）专项上解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241,083 </w:t>
            </w: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均衡性转移支付收入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616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1,316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结算补助收入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2,097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92,129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94,226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公共安全共同财政事权转移支付收入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2,057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2,057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教育共同财政事权转移支付收入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11,278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1,550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12,828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科学技术共同财政事权转移支付收入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229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679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908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>文化旅游体育与传媒共同财政事权转移支付收入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11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98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社会保障和就业共同财政事权转移支付收入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9,065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5,138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14,203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医疗卫生共同财政事权转移支付收入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6,792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1,299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8,091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农林水共同财政事权转移支付收入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交通运输共同财政事权转移支付收入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134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住房保障共同财政事权转移支付收入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11,229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-2,281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8,948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其他一般性转移支付收入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68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80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lastRenderedPageBreak/>
              <w:t>（三）专项转移支付收入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16,654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113,142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129,796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792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793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科学技术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2,707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2,707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文化旅游体育与传媒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社会保障和就业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4,000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卫生健康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169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20,000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20,169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节能环保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613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1,769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2,382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城乡社区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24,789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24,789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农林水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资源勘探信息等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11,468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56,920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68,388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商业服务业等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3,010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823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3,833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自然资源海洋气象等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553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灾害救治和应急管理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314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334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</w:t>
            </w: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其他专项转移支付收入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1,737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1,737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二、上年结转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36,271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36,271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三、调入资金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326,828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77,126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403,954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四、债务转贷收入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28,400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28,400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  <w:tr w:rsidR="00296128" w:rsidRPr="00296128" w:rsidTr="00A34F0F">
        <w:trPr>
          <w:trHeight w:val="369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五、动用预算稳定调节基金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26,000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righ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</w:rPr>
            </w:pPr>
            <w:r w:rsidRPr="00296128"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26,000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6128" w:rsidRPr="00296128" w:rsidRDefault="00296128" w:rsidP="00296128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宋体" w:hAnsi="Times New Roman" w:cs="Times New Roman"/>
                <w:color w:val="000000"/>
                <w:spacing w:val="-6"/>
                <w:kern w:val="21"/>
                <w:sz w:val="22"/>
              </w:rPr>
            </w:pPr>
          </w:p>
        </w:tc>
      </w:tr>
    </w:tbl>
    <w:p w:rsidR="00296128" w:rsidRPr="00296128" w:rsidRDefault="00296128" w:rsidP="00296128">
      <w:pPr>
        <w:adjustRightInd w:val="0"/>
        <w:snapToGrid w:val="0"/>
        <w:spacing w:line="20" w:lineRule="exact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BD6F7C" w:rsidRPr="00296128" w:rsidRDefault="00BD6F7C"/>
    <w:sectPr w:rsidR="00BD6F7C" w:rsidRPr="00296128" w:rsidSect="002961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9F" w:rsidRDefault="00F17C9F" w:rsidP="00296128">
      <w:r>
        <w:separator/>
      </w:r>
    </w:p>
  </w:endnote>
  <w:endnote w:type="continuationSeparator" w:id="0">
    <w:p w:rsidR="00F17C9F" w:rsidRDefault="00F17C9F" w:rsidP="0029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9F" w:rsidRDefault="00F17C9F" w:rsidP="00296128">
      <w:r>
        <w:separator/>
      </w:r>
    </w:p>
  </w:footnote>
  <w:footnote w:type="continuationSeparator" w:id="0">
    <w:p w:rsidR="00F17C9F" w:rsidRDefault="00F17C9F" w:rsidP="0029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51"/>
    <w:rsid w:val="00284B51"/>
    <w:rsid w:val="00296128"/>
    <w:rsid w:val="008758DD"/>
    <w:rsid w:val="009F4E5F"/>
    <w:rsid w:val="00BD6F7C"/>
    <w:rsid w:val="00F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1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>HP Inc.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2024-12-30T07:29:00Z</dcterms:created>
  <dcterms:modified xsi:type="dcterms:W3CDTF">2024-12-30T07:30:00Z</dcterms:modified>
</cp:coreProperties>
</file>