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56" w:rsidRDefault="00535056" w:rsidP="00535056">
      <w:pPr>
        <w:adjustRightInd w:val="0"/>
        <w:snapToGrid w:val="0"/>
        <w:spacing w:line="520" w:lineRule="exact"/>
        <w:rPr>
          <w:rFonts w:eastAsia="方正仿宋_GBK" w:cs="方正仿宋_GBK" w:hint="eastAsia"/>
          <w:color w:val="000000"/>
          <w:kern w:val="0"/>
          <w:sz w:val="32"/>
          <w:szCs w:val="32"/>
          <w:lang w:bidi="ar"/>
        </w:rPr>
      </w:pPr>
      <w:r>
        <w:rPr>
          <w:rFonts w:eastAsia="方正黑体_GBK" w:cs="方正黑体_GBK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eastAsia="方正黑体_GBK" w:cs="方正黑体_GBK" w:hint="eastAsia"/>
          <w:color w:val="000000"/>
          <w:kern w:val="0"/>
          <w:sz w:val="32"/>
          <w:szCs w:val="32"/>
          <w:lang w:bidi="ar"/>
        </w:rPr>
        <w:t>1</w:t>
      </w:r>
    </w:p>
    <w:p w:rsidR="00535056" w:rsidRDefault="00535056" w:rsidP="00535056">
      <w:pPr>
        <w:adjustRightInd w:val="0"/>
        <w:snapToGrid w:val="0"/>
        <w:spacing w:line="520" w:lineRule="exact"/>
        <w:jc w:val="center"/>
        <w:rPr>
          <w:rFonts w:eastAsia="方正仿宋_GBK" w:cs="方正仿宋_GBK" w:hint="eastAsia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2024</w:t>
      </w:r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年</w:t>
      </w:r>
      <w:proofErr w:type="gramStart"/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两江新区</w:t>
      </w:r>
      <w:proofErr w:type="gramEnd"/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一般公共预算收支调整预算表</w:t>
      </w:r>
    </w:p>
    <w:bookmarkEnd w:id="0"/>
    <w:p w:rsidR="00535056" w:rsidRDefault="00535056" w:rsidP="00535056">
      <w:pPr>
        <w:adjustRightInd w:val="0"/>
        <w:snapToGrid w:val="0"/>
        <w:spacing w:line="520" w:lineRule="exact"/>
        <w:jc w:val="right"/>
        <w:rPr>
          <w:rFonts w:eastAsia="方正仿宋_GBK" w:cs="方正仿宋_GBK" w:hint="eastAsia"/>
          <w:color w:val="000000"/>
          <w:kern w:val="0"/>
          <w:sz w:val="24"/>
          <w:szCs w:val="24"/>
          <w:lang w:bidi="ar"/>
        </w:rPr>
      </w:pPr>
      <w:r>
        <w:rPr>
          <w:rFonts w:eastAsia="方正仿宋_GBK" w:cs="方正仿宋_GBK" w:hint="eastAsia"/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15307" w:type="dxa"/>
        <w:jc w:val="center"/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3605"/>
        <w:gridCol w:w="1547"/>
        <w:gridCol w:w="1344"/>
        <w:gridCol w:w="1453"/>
        <w:gridCol w:w="3265"/>
        <w:gridCol w:w="1422"/>
        <w:gridCol w:w="1203"/>
        <w:gridCol w:w="1468"/>
      </w:tblGrid>
      <w:tr w:rsidR="00535056" w:rsidTr="00A34F0F">
        <w:trPr>
          <w:trHeight w:val="363"/>
          <w:tblHeader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收</w:t>
            </w:r>
            <w:r>
              <w:rPr>
                <w:rStyle w:val="font151"/>
                <w:rFonts w:eastAsia="方正黑体_GBK"/>
                <w:spacing w:val="-6"/>
                <w:kern w:val="21"/>
                <w:lang w:bidi="ar"/>
              </w:rPr>
              <w:t xml:space="preserve">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支</w:t>
            </w:r>
            <w:r>
              <w:rPr>
                <w:rStyle w:val="font151"/>
                <w:rFonts w:eastAsia="方正黑体_GBK"/>
                <w:spacing w:val="-6"/>
                <w:kern w:val="21"/>
                <w:lang w:bidi="ar"/>
              </w:rPr>
              <w:t xml:space="preserve">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总</w:t>
            </w:r>
            <w:r>
              <w:rPr>
                <w:rFonts w:eastAsia="方正黑体_GBK" w:cs="宋体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1,799,316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317,973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2,117,289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总</w:t>
            </w:r>
            <w:r>
              <w:rPr>
                <w:rFonts w:eastAsia="方正黑体_GBK" w:cs="宋体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1,799,316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317,973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2,117,289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本级收入合计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1,291,206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1,291,206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本级支出合计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1,558,233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317,973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1,876,206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一、税收收入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1,092,276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1,092,276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一、一般公共服务支出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142,667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-23,463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119,204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增值税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291,535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291,535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二、国防支出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172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企业所得税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205,503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205,503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三、公共安全支出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80,811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2,226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83,037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个人所得税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48,018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48,018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四、教育支出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243,625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12,370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255,995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资源税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五、科学技术支出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69,604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3,404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73,008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城市维护建设税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56,005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56,005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六、文化体育与传媒支出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3,618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446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4,064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房产税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62,710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62,710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七、社会保障和就业支出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80,067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16,658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96,725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印花税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52,060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52,060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八、卫生健康支出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38,601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25,827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64,428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城镇土地使用税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97,095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97,095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九、节能环保支出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39,710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1,039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40,749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土地增值税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162,000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162,000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十、城乡社区支出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434,011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294,796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728,807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契税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117,000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117,000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十一、农林水支出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11,344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-474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10,870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环境保护税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350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十二、交通运输支出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85,734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-48,294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37,440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二、非税收入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198,930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198,930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十三、资源勘探信息等支出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161,023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51,508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212,531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专项收入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59,000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59,000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十四、商业服务业等支出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82,958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-19,702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63,256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行政事业性收费收入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2,736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2,736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十五、金融业支出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2,103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2,103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罚没收入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19,040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19,040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>十六、自然资源海洋气象等支出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13,870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1,034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14,904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11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>国有资源（资产）有偿使用收入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114,224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114,224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十七、住房保障支出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32,835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-1,493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31,342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3,930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3,930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十八、粮油物资储备支出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209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十九、灾害防治及应急管理支出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12,076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12,430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二十、预备费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20,000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20,000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二十一、其他支出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1,737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1,757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二十二、债务付息支出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3,175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3,175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二十三、债务发行费用支出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转移性收入合计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508,110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317,973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826,083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转移性支出合计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241,083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>241,083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一、上级补助收入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119,011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212,447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331,458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一、上解上级支出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241,083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241,083</w:t>
            </w: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二、上年结转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36,271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36,271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三、调入资金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326,828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77,126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403,954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四、债务转贷收入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28,400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28,400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一般债务转贷收入（新增）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28,400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28,400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一般债务转贷收入（再融资）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535056" w:rsidTr="00A34F0F">
        <w:trPr>
          <w:trHeight w:val="363"/>
          <w:jc w:val="center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五、动用预算稳定调节基金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26,000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>26,000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5056" w:rsidRDefault="00535056" w:rsidP="00A34F0F">
            <w:pPr>
              <w:adjustRightInd w:val="0"/>
              <w:snapToGrid w:val="0"/>
              <w:spacing w:line="240" w:lineRule="exact"/>
              <w:jc w:val="right"/>
              <w:rPr>
                <w:rFonts w:cs="宋体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</w:tbl>
    <w:p w:rsidR="00BD6F7C" w:rsidRPr="00535056" w:rsidRDefault="00535056" w:rsidP="00535056">
      <w:pPr>
        <w:adjustRightInd w:val="0"/>
        <w:snapToGrid w:val="0"/>
        <w:spacing w:line="280" w:lineRule="exact"/>
      </w:pPr>
      <w:r>
        <w:rPr>
          <w:rFonts w:eastAsia="方正仿宋_GBK" w:cs="方正仿宋_GBK" w:hint="eastAsia"/>
          <w:color w:val="000000"/>
          <w:kern w:val="0"/>
          <w:sz w:val="24"/>
          <w:szCs w:val="24"/>
          <w:lang w:bidi="ar"/>
        </w:rPr>
        <w:t>注：由于四舍五入因素，部分分项加和与总数可能略有差异，下同。</w:t>
      </w:r>
    </w:p>
    <w:sectPr w:rsidR="00BD6F7C" w:rsidRPr="00535056" w:rsidSect="00535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7"/>
    <w:rsid w:val="00535056"/>
    <w:rsid w:val="008758DD"/>
    <w:rsid w:val="009F4E5F"/>
    <w:rsid w:val="00BD6F7C"/>
    <w:rsid w:val="00D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350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0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51">
    <w:name w:val="font151"/>
    <w:rsid w:val="00535056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53505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350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0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51">
    <w:name w:val="font151"/>
    <w:rsid w:val="00535056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53505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>HP Inc.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陈晓溪</dc:creator>
  <cp:keywords/>
  <dc:description/>
  <cp:lastModifiedBy>陈晓溪</cp:lastModifiedBy>
  <cp:revision>2</cp:revision>
  <dcterms:created xsi:type="dcterms:W3CDTF">2024-12-30T07:18:00Z</dcterms:created>
  <dcterms:modified xsi:type="dcterms:W3CDTF">2024-12-30T07:25:00Z</dcterms:modified>
</cp:coreProperties>
</file>